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الإفراني
</w:t>
      </w:r>
    </w:p>
    <w:p>
      <w:pPr>
        <w:jc w:val="start"/>
        <w:bidi/>
      </w:pPr>
      <w:r>
        <w:rPr>
          <w:rFonts w:ascii="arial" w:hAnsi="arial" w:eastAsia="arial" w:cs="arial"/>
          <w:sz w:val="28"/>
          <w:szCs w:val="28"/>
          <w:b w:val="1"/>
          <w:bCs w:val="1"/>
          <w:rtl/>
        </w:rPr>
        <w:t xml:space="preserve">البكري الإفراني
</w:t>
      </w:r>
    </w:p>
    <w:p>
      <w:pPr/>
      <w:r>
        <w:rPr/>
        <w:t xml:space="preserve">البكري الإفراني  الطاهر بن محمد بن إبراهيم البكري التمنرتي ثم الإفراني: شاعر مكثر، من أهل سوس (في جنوب المغرب الأقصى) من البربر. مولده ووفاته في ’’تنيكرت’’ بإفران، التابعة لتزنيت، وهي غير إفران القريبة من فاس. نشأ يتيما في بيت فقر. وتعلم في ’’إلغ’’ فتفقه حتى عد من رجال القضاء والإفتاء، وتأدب، حتى كان شاعر قطره. له (ديوان - خ) في نحو مجلدين، و (نظم الحكم العطائية - خ) و (نظم رسالة العضد - خ) و (نظم بعض مختصر خليل - خ) وكان ممن صحب أحمد الهيبة (أنظر ترجمته) وله في مدحه وحضه على الجهاد قصائد.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2026-07-25T08:01:09+03:00</dcterms:created>
  <dcterms:modified xsi:type="dcterms:W3CDTF">2026-07-25T08:01:09+03:00</dcterms:modified>
</cp:coreProperties>
</file>

<file path=docProps/custom.xml><?xml version="1.0" encoding="utf-8"?>
<Properties xmlns="http://schemas.openxmlformats.org/officeDocument/2006/custom-properties" xmlns:vt="http://schemas.openxmlformats.org/officeDocument/2006/docPropsVTypes"/>
</file>