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العمراني
</w:t>
      </w:r>
    </w:p>
    <w:p>
      <w:pPr>
        <w:jc w:val="start"/>
        <w:bidi/>
      </w:pPr>
      <w:r>
        <w:rPr>
          <w:rFonts w:ascii="arial" w:hAnsi="arial" w:eastAsia="arial" w:cs="arial"/>
          <w:sz w:val="28"/>
          <w:szCs w:val="28"/>
          <w:b w:val="1"/>
          <w:bCs w:val="1"/>
          <w:rtl/>
        </w:rPr>
        <w:t xml:space="preserve">العمراني
</w:t>
      </w:r>
    </w:p>
    <w:p>
      <w:pPr/>
      <w:r>
        <w:rPr/>
        <w:t xml:space="preserve">العمراني  طاهر بن يحيى بن أبي الخير سالم، أبو الطيب العمراني: فقيه شافعي يماني. خلف أباه في العلم والقضاء. وجاور بمكة بعد فتنة انتشرت في مخاليف اليمن. فأقام سبع سنوات. وعاد إلى وطنه (سنة 566) وولي قضاء ذي جبلة وأعمالها. وصنف (مقاصد اللمع) و (مناقب الشافعي وأحمد) و (معونة الطلاب) و (جلاء الفكر في الرد على نفاة القدر) وغلب عليه علم الكلام. وهو من مشايخ ابن سمرة صاحب الطبقات. </w:t>
      </w:r>
    </w:p>
    <w:p>
      <w:pPr>
        <w:jc w:val="start"/>
        <w:bidi/>
      </w:pPr>
      <w:r>
        <w:rPr>
          <w:sz w:val="24"/>
          <w:szCs w:val="24"/>
          <w:b w:val="1"/>
          <w:bCs w:val="1"/>
          <w:rtl/>
        </w:rPr>
        <w:t xml:space="preserve">
الأعلام،(دار العلم للملايين - بيروت،2002،ط 15،ج 3،ص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2026-07-27T08:51:07+03:00</dcterms:created>
  <dcterms:modified xsi:type="dcterms:W3CDTF">2026-07-27T08:51:07+03:00</dcterms:modified>
</cp:coreProperties>
</file>

<file path=docProps/custom.xml><?xml version="1.0" encoding="utf-8"?>
<Properties xmlns="http://schemas.openxmlformats.org/officeDocument/2006/custom-properties" xmlns:vt="http://schemas.openxmlformats.org/officeDocument/2006/docPropsVTypes"/>
</file>