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وبرة بن سنان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وبرة بن سنان الجهني
</w:t>
      </w:r>
    </w:p>
    <w:p>
      <w:pPr/>
      <w:r>
        <w:rPr/>
        <w:t xml:space="preserve">وبرة بن سنان الجهني ذكره أبو العباس الضرير في مقامات التنزيل، ويقال: إنه الذي نازع جعالا الغفاري أجير عمر بن الخطاب في حوضه، ونزل فيهما: </w:t>
      </w:r>
    </w:p>
    <w:p>
      <w:pPr/>
      <w:r>
        <w:rPr>
          <w:color w:val="0000ff"/>
        </w:rPr>
        <w:t xml:space="preserve">{يا أيها الناس إنا خلقناكم من ذكر وأنثى}</w:t>
      </w:r>
    </w:p>
    <w:p>
      <w:pPr/>
      <w:r>
        <w:rPr/>
        <w:t xml:space="preserve">... الآية.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2026-07-27T09:59:29+03:00</dcterms:created>
  <dcterms:modified xsi:type="dcterms:W3CDTF">2026-07-27T09:59:29+03:00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