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بسرة بنت غزوان
</w:t>
      </w:r>
    </w:p>
    <w:p>
      <w:pPr>
        <w:jc w:val="start"/>
        <w:bidi/>
      </w:pPr>
      <w:r>
        <w:rPr>
          <w:rFonts w:ascii="arial" w:hAnsi="arial" w:eastAsia="arial" w:cs="arial"/>
          <w:sz w:val="28"/>
          <w:szCs w:val="28"/>
          <w:b w:val="1"/>
          <w:bCs w:val="1"/>
          <w:rtl/>
        </w:rPr>
        <w:t xml:space="preserve">بسرة بنت غزوان
</w:t>
      </w:r>
    </w:p>
    <w:p>
      <w:pPr/>
      <w:r>
        <w:rPr/>
        <w:t xml:space="preserve">بسرة بنت غزوان التي كان أبو هريرة أجيرها ثم تزوجها. وما رأيت أحدا ذكرها، كذا في التجريد.</w:t>
      </w:r>
    </w:p>
    <w:p/>
    <w:p>
      <w:pPr/>
      <w:r>
        <w:rPr/>
        <w:t xml:space="preserve">قلت: هي أخت عتبة بن غزوان المازني الصحابي المشهور، أمير البصرة. وقصة أبي هريرة معها صحيحة، وكانت قد استأجرته في العهد النبوي، ثم تزوجها بعد ذلك لما كان مروان يستخلفه في إمرة المدينة.</w:t>
      </w:r>
    </w:p>
    <w:p>
      <w:pPr>
        <w:jc w:val="start"/>
        <w:bidi/>
      </w:pPr>
      <w:r>
        <w:rPr>
          <w:sz w:val="24"/>
          <w:szCs w:val="24"/>
          <w:b w:val="1"/>
          <w:bCs w:val="1"/>
          <w:rtl/>
        </w:rPr>
        <w:t xml:space="preserve">
الإصابة في تمييز الصحابة،(دار الكتب العلمية - بيروت،1995،ط 1،ج 8،ص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2026-07-27T11:30:38+03:00</dcterms:created>
  <dcterms:modified xsi:type="dcterms:W3CDTF">2026-07-27T11:30:38+03:00</dcterms:modified>
</cp:coreProperties>
</file>

<file path=docProps/custom.xml><?xml version="1.0" encoding="utf-8"?>
<Properties xmlns="http://schemas.openxmlformats.org/officeDocument/2006/custom-properties" xmlns:vt="http://schemas.openxmlformats.org/officeDocument/2006/docPropsVTypes"/>
</file>