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صخرة بنت أبي جهل
</w:t>
      </w:r>
    </w:p>
    <w:p>
      <w:pPr>
        <w:jc w:val="start"/>
        <w:bidi/>
      </w:pPr>
      <w:r>
        <w:rPr>
          <w:rFonts w:ascii="arial" w:hAnsi="arial" w:eastAsia="arial" w:cs="arial"/>
          <w:sz w:val="28"/>
          <w:szCs w:val="28"/>
          <w:b w:val="1"/>
          <w:bCs w:val="1"/>
          <w:rtl/>
        </w:rPr>
        <w:t xml:space="preserve">صخرة بنت أبي جهل
</w:t>
      </w:r>
    </w:p>
    <w:p>
      <w:pPr/>
      <w:r>
        <w:rPr/>
        <w:t xml:space="preserve">صخرة بنت أبي جهل واسمه عمرو بن هشام بن المغيرة المخزومي، تزوجها أبو سعيد بن الحارث بن هشام، فولدت له، وتزوجها خالد بن العاص بن هشام فولدت له أم الحارث بنت خالد.</w:t>
      </w:r>
    </w:p>
    <w:p/>
    <w:p>
      <w:pPr/>
      <w:r>
        <w:rPr/>
        <w:t xml:space="preserve">ذكرها الزبير بن بكار، وذكر لها الفاكهي في كتاب مكة قصة، وهي من أهل هذا القسم، لأن أباها قتل يوم بدر، فكانت هي ممن حضر يوم الفتح وهي مميزة، ثم حجة الوداع، وعاشت بعد النبي صلى الله عليه وسلم إلى أن تزوجت وولدت.</w:t>
      </w:r>
    </w:p>
    <w:p>
      <w:pPr>
        <w:jc w:val="start"/>
        <w:bidi/>
      </w:pPr>
      <w:r>
        <w:rPr>
          <w:sz w:val="24"/>
          <w:szCs w:val="24"/>
          <w:b w:val="1"/>
          <w:bCs w:val="1"/>
          <w:rtl/>
        </w:rPr>
        <w:t xml:space="preserve">
الإصابة في تمييز الصحابة،(دار الكتب العلمية - بيروت،1995،ط 1،ج 8،ص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2026-07-27T08:44:02+03:00</dcterms:created>
  <dcterms:modified xsi:type="dcterms:W3CDTF">2026-07-27T08:44:02+03:00</dcterms:modified>
</cp:coreProperties>
</file>

<file path=docProps/custom.xml><?xml version="1.0" encoding="utf-8"?>
<Properties xmlns="http://schemas.openxmlformats.org/officeDocument/2006/custom-properties" xmlns:vt="http://schemas.openxmlformats.org/officeDocument/2006/docPropsVTypes"/>
</file>