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البناء
</w:t>
      </w:r>
    </w:p>
    <w:p>
      <w:pPr/>
      <w:r>
        <w:rPr/>
        <w:t xml:space="preserve">البناء  عبد الرحمن بن بطي البناء : شاعر من أهل بغداد. كان بناء. وتحول إلى العمل في الصحافة وصار شعره محور الحركة الوطنية أيام الاحتلال البريطاني. قال زكي مبارك: ’’وقفت معه على شط دجلة فوق مسناة، فقال: أنا الذي بنيت هذه المسناة بيدي، ثم استهواني الأدب فهجرت البناية واشتغلت بنظم الشعر، وانشأت جريدة بغداد’’. له ديوانان من نظمه، أحدهما (ديوان البناء - ط) والثاني (ذكرى استقلال العراق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2026-07-27T08:57:34+03:00</dcterms:created>
  <dcterms:modified xsi:type="dcterms:W3CDTF">2026-07-27T08:57:34+03:00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