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العراقي
</w:t>
      </w:r>
    </w:p>
    <w:p>
      <w:pPr>
        <w:jc w:val="start"/>
        <w:bidi/>
      </w:pPr>
      <w:r>
        <w:rPr>
          <w:rFonts w:ascii="arial" w:hAnsi="arial" w:eastAsia="arial" w:cs="arial"/>
          <w:sz w:val="28"/>
          <w:szCs w:val="28"/>
          <w:b w:val="1"/>
          <w:bCs w:val="1"/>
          <w:rtl/>
        </w:rPr>
        <w:t xml:space="preserve">الحافظ العراقي
</w:t>
      </w:r>
    </w:p>
    <w:p>
      <w:pPr/>
      <w:r>
        <w:rPr/>
        <w:t xml:space="preserve">الحافظ العراقي  عبد الرحيم بن الحسين بن عبد الرحمن، أبو الفضل، المعروف بالحافظ العراقي: بحاثة، من كبار حفاظ الحديث. اصله من الكرد، ومولده في رازثان (من اعمال اربل) تحول صغيرا مع ابيه إلى مصر، فتعلم ونبغ فيها. وقام برحلة إلى الحجاز والشام وفلسطين، وعاد إلى مصر، فتوفى في القاهرة. من كتبه (المغني عن حمل الاسفار في الاسفار - ط) في تخريج احاديث الاحياء، و (نكت منهاج البيضاوي) في الاصول، و (ذيل على الميزان) و (الالفية - ط) في مصطلح الحديث، وشرحها (فتح المغيث - ط) و (التحرير - خ) في اصول الفقه، و (نظم الدرر السنية - خ) منظومة في السيرة النبوية، و (الالفية - ط) في غريب القرآن، و (القريب في محبة العرب - ط) رسالة، و (تقريب الاسانيد وترنيب المسانيد - ط) و (ذيل على ذيل العبر للذهبي) و (معجم) ترجم به جماعة من أهل القرن الثامن للهجرة، و (التقييد والايضاح - ط) في مصطلح الحديث، و (شرح التقريب - خ) وغير ذلك، وهو كثير.</w:t>
      </w:r>
    </w:p>
    <w:p>
      <w:pPr>
        <w:jc w:val="start"/>
        <w:bidi/>
      </w:pPr>
      <w:r>
        <w:rPr>
          <w:sz w:val="24"/>
          <w:szCs w:val="24"/>
          <w:b w:val="1"/>
          <w:bCs w:val="1"/>
          <w:rtl/>
        </w:rPr>
        <w:t xml:space="preserve">
الأعلام،(دار العلم للملايين - بيروت،2002،ط 15،ج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الحسين بن عبد الرحمن أبو الفضل الكردي المعروف بابن العراقي
</w:t>
      </w:r>
    </w:p>
    <w:p>
      <w:pPr/>
      <w:r>
        <w:rPr/>
        <w:t xml:space="preserve">عبد الرحيم بن الحسين بن عبد الرحمن أبو الفضل الكردي الرازياني الأصل المهراني المصري الشافعي يعرف بابن العراقي انتسب بالعراق العرب قام سلفه ببلدة من أعمال أربل يقال لها رازيان إلى أن تحول والده لمصر وهو صغير مع بعض أقربائه فاختص بالشيخ الشريف تقي الدين وذلك في سنة خمس وعشرين وسبعمائة</w:t>
      </w:r>
    </w:p>
    <w:p/>
    <w:p>
      <w:pPr/>
      <w:r>
        <w:rPr/>
        <w:t xml:space="preserve">كان بارعا في العلوم وصنف كتبا كثيرة منها الألفية في علوم الحديث وفي السيرة النبوية وصنف في تفسير غريب القرآن وغيرها</w:t>
      </w:r>
    </w:p>
    <w:p/>
    <w:p>
      <w:pPr/>
      <w:r>
        <w:rPr/>
        <w:t xml:space="preserve">وتوفي في شهر شعبان سنة ست وثمانمائة بالقاهرة</w:t>
      </w:r>
    </w:p>
    <w:p/>
    <w:p>
      <w:pPr/>
      <w:r>
        <w:rPr/>
        <w:t xml:space="preserve">ودفن بتربتهم خارج باب البزقية وكانت جنازته مشهودة وقدم للصلاة عليه الشيخ شهاب الدين الذهبي</w:t>
      </w:r>
    </w:p>
    <w:p>
      <w:pPr>
        <w:jc w:val="start"/>
        <w:bidi/>
      </w:pPr>
      <w:r>
        <w:rPr>
          <w:sz w:val="24"/>
          <w:szCs w:val="24"/>
          <w:b w:val="1"/>
          <w:bCs w:val="1"/>
          <w:rtl/>
        </w:rPr>
        <w:t xml:space="preserve">
طبقات المفسرين للأدنه وي،(مكتبة العلوم والحكم - المدينة المنورة،1997،ط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2026-07-27T14:07:05+03:00</dcterms:created>
  <dcterms:modified xsi:type="dcterms:W3CDTF">2026-07-27T14:07:05+03:00</dcterms:modified>
</cp:coreProperties>
</file>

<file path=docProps/custom.xml><?xml version="1.0" encoding="utf-8"?>
<Properties xmlns="http://schemas.openxmlformats.org/officeDocument/2006/custom-properties" xmlns:vt="http://schemas.openxmlformats.org/officeDocument/2006/docPropsVTypes"/>
</file>