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الإمام
</w:t>
      </w:r>
    </w:p>
    <w:p>
      <w:pPr>
        <w:jc w:val="start"/>
        <w:bidi/>
      </w:pPr>
      <w:r>
        <w:rPr>
          <w:rFonts w:ascii="arial" w:hAnsi="arial" w:eastAsia="arial" w:cs="arial"/>
          <w:sz w:val="28"/>
          <w:szCs w:val="28"/>
          <w:b w:val="1"/>
          <w:bCs w:val="1"/>
          <w:rtl/>
        </w:rPr>
        <w:t xml:space="preserve">الإمام
</w:t>
      </w:r>
    </w:p>
    <w:p>
      <w:pPr/>
      <w:r>
        <w:rPr/>
        <w:t xml:space="preserve">الإمام  عبد الفتاح الامام: باحث مفسر دمشقي. كان نباتيا متقشفا في حياته الخاصة. قرأ على شيوخ الفقه والأصول في دمشق وألم بالعلوم الطبيعية وكان ينكر البدع. وعاش عزبا. وتوظف في دار الكتب الظاهرية مدة، وصنف مجموعة من الكتب، منها (التفسير العصري - ط) 30 جزءا صغيرا في 3 مجلدات، و (صوت الطبيعة - ط) في الرد على شبهات بعض الملاحدة و (العلم والعقل شاهدان بعظمة الله - ط) و (سيدنا محمد المثل الأعلى في الكمال الإنساني - ط) و (الحقوق في الاسلام - ط) و (الرق في الإسلام - ط) و (الإسلام والعلم - ط) و (المرأة في الإسلام - خ) و (الحضارة الإسلامية - خ) مولده ووفاته بدمشق. </w:t>
      </w:r>
    </w:p>
    <w:p>
      <w:pPr>
        <w:jc w:val="start"/>
        <w:bidi/>
      </w:pPr>
      <w:r>
        <w:rPr>
          <w:sz w:val="24"/>
          <w:szCs w:val="24"/>
          <w:b w:val="1"/>
          <w:bCs w:val="1"/>
          <w:rtl/>
        </w:rPr>
        <w:t xml:space="preserve">
الأعلام،(دار العلم للملايين - بيروت،2002،ط 15،ج 4،ص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2026-07-23T18:30:44+03:00</dcterms:created>
  <dcterms:modified xsi:type="dcterms:W3CDTF">2026-07-23T18:30:44+03:00</dcterms:modified>
</cp:coreProperties>
</file>

<file path=docProps/custom.xml><?xml version="1.0" encoding="utf-8"?>
<Properties xmlns="http://schemas.openxmlformats.org/officeDocument/2006/custom-properties" xmlns:vt="http://schemas.openxmlformats.org/officeDocument/2006/docPropsVTypes"/>
</file>