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عبد الكريم
</w:t>
      </w:r>
    </w:p>
    <w:p>
      <w:pPr>
        <w:jc w:val="start"/>
        <w:bidi/>
      </w:pPr>
      <w:r>
        <w:rPr>
          <w:rFonts w:ascii="arial" w:hAnsi="arial" w:eastAsia="arial" w:cs="arial"/>
          <w:sz w:val="28"/>
          <w:szCs w:val="28"/>
          <w:b w:val="1"/>
          <w:bCs w:val="1"/>
          <w:rtl/>
        </w:rPr>
        <w:t xml:space="preserve">الشريف عبد الكريم
</w:t>
      </w:r>
    </w:p>
    <w:p>
      <w:pPr/>
      <w:r>
        <w:rPr/>
        <w:t xml:space="preserve">الشريف عبد الكريم  عبد الكريم بن محمد بن يعلي، من ولد ابي نمى: شريف حسني، من امراء مكة. وليها سنة 1116هـ. وثارت عليه فتن كثيرة. وعزل، وعاد، مرارا. ثم خرج إلى مصر مغلوبا على امره، فمات فيها بالطاعون. ومدة امارته كلها ست سنين وعشرة اشهر. </w:t>
      </w:r>
    </w:p>
    <w:p>
      <w:pPr>
        <w:jc w:val="start"/>
        <w:bidi/>
      </w:pPr>
      <w:r>
        <w:rPr>
          <w:sz w:val="24"/>
          <w:szCs w:val="24"/>
          <w:b w:val="1"/>
          <w:bCs w:val="1"/>
          <w:rtl/>
        </w:rPr>
        <w:t xml:space="preserve">
الأعلام،(دار العلم للملايين - بيروت،2002،ط 15،ج 4،ص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2026-07-27T13:16:27+03:00</dcterms:created>
  <dcterms:modified xsi:type="dcterms:W3CDTF">2026-07-27T13:16:27+03:00</dcterms:modified>
</cp:coreProperties>
</file>

<file path=docProps/custom.xml><?xml version="1.0" encoding="utf-8"?>
<Properties xmlns="http://schemas.openxmlformats.org/officeDocument/2006/custom-properties" xmlns:vt="http://schemas.openxmlformats.org/officeDocument/2006/docPropsVTypes"/>
</file>