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حيدر
</w:t>
      </w:r>
    </w:p>
    <w:p>
      <w:pPr>
        <w:jc w:val="start"/>
        <w:bidi/>
      </w:pPr>
      <w:r>
        <w:rPr>
          <w:rFonts w:ascii="arial" w:hAnsi="arial" w:eastAsia="arial" w:cs="arial"/>
          <w:sz w:val="28"/>
          <w:szCs w:val="28"/>
          <w:b w:val="1"/>
          <w:bCs w:val="1"/>
          <w:rtl/>
        </w:rPr>
        <w:t xml:space="preserve">ابن حيدر
</w:t>
      </w:r>
    </w:p>
    <w:p>
      <w:pPr/>
      <w:r>
        <w:rPr/>
        <w:t xml:space="preserve">ابن حيدر  عبد الله بن حيدر بن ابي القاسم القزويني، ابو القاسم: فقيه، من رجال الحديث. اصله من قزوين. رحل إلى خراسان، واستوطن همذان، وتوفى بها. له كتب، منها كتاب (مشيخته) ترجم فيه شيوخه الذين اخذ عنهم او اجازوه.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القزويني أبو القاسم
</w:t>
      </w:r>
    </w:p>
    <w:p>
      <w:pPr/>
      <w:r>
        <w:rPr/>
        <w:t xml:space="preserve">عبد الله بن حيدر بن أبي القاسم القزويني أبو القاسم سافر إلى خراسان وتفقه على أئمتها</w:t>
      </w:r>
    </w:p>
    <w:p/>
    <w:p>
      <w:pPr/>
      <w:r>
        <w:rPr/>
        <w:t xml:space="preserve">وسمع الحديث بنيسابور من أبي عبد الله الفراوي وغيره وبمرو من يوسف بن أيوب الهمذاني وعاد إلى همذان فاستوطنها وحدث بصحيح مسلم وجمع أربعين حديثا</w:t>
      </w:r>
    </w:p>
    <w:p/>
    <w:p>
      <w:pPr/>
      <w:r>
        <w:rPr/>
        <w:t xml:space="preserve">توفي بهمذان سنة اثنتين وثمانين وخمسمائة</w:t>
      </w:r>
    </w:p>
    <w:p>
      <w:pPr>
        <w:jc w:val="start"/>
        <w:bidi/>
      </w:pPr>
      <w:r>
        <w:rPr>
          <w:sz w:val="24"/>
          <w:szCs w:val="24"/>
          <w:b w:val="1"/>
          <w:bCs w:val="1"/>
          <w:rtl/>
        </w:rPr>
        <w:t xml:space="preserve">
طبقات الشافعية الكبرى،(دار هجر - القاهرة،1992،ط 2،ج 7،ص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القزويني الفقيه
</w:t>
      </w:r>
    </w:p>
    <w:p>
      <w:pPr/>
      <w:r>
        <w:rPr/>
        <w:t xml:space="preserve">عبد الله بن حيدر القزويني الفقيه. عن زاهر الشحامى وطبقته.</w:t>
      </w:r>
    </w:p>
    <w:p/>
    <w:p>
      <w:pPr/>
      <w:r>
        <w:rPr/>
        <w:t xml:space="preserve">وخرج لنفسه أربعين حديثا.</w:t>
      </w:r>
    </w:p>
    <w:p/>
    <w:p>
      <w:pPr/>
      <w:r>
        <w:rPr/>
        <w:t xml:space="preserve">اتهمه ابن الصلاح.</w:t>
      </w:r>
    </w:p>
    <w:p>
      <w:pPr>
        <w:jc w:val="start"/>
        <w:bidi/>
      </w:pPr>
      <w:r>
        <w:rPr>
          <w:sz w:val="24"/>
          <w:szCs w:val="24"/>
          <w:b w:val="1"/>
          <w:bCs w:val="1"/>
          <w:rtl/>
        </w:rPr>
        <w:t xml:space="preserve">
ميزان الاعتدال في نقد الرجال،(دار المعرفة للطباعة والنشر، بيروت - لبنان،1963،ط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القزوينى أبو القاسم.
</w:t>
      </w:r>
    </w:p>
    <w:p>
      <w:pPr/>
      <w:r>
        <w:rPr/>
        <w:t xml:space="preserve">عبد اللَّه بن حيدر بن أبي القاسم القزوينى أبو القاسم. </w:t>
      </w:r>
    </w:p>
    <w:p/>
    <w:p>
      <w:pPr/>
      <w:r>
        <w:rPr/>
        <w:t xml:space="preserve">سافر إلى خراسان، وتفقه بأئمتها، وسمع بنيسابور من أبي عبد اللَّه الفراوى وغيره وبمرو من يوسف بن أيوب الهمدانى، وعاد إلى همدان فاستوطنها، وحدَّث بصحيح مسلم، وجمع أربعين حديثاً، ومات بهمدان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2026-07-27T08:51:42+03:00</dcterms:created>
  <dcterms:modified xsi:type="dcterms:W3CDTF">2026-07-27T08:51:42+03:00</dcterms:modified>
</cp:coreProperties>
</file>

<file path=docProps/custom.xml><?xml version="1.0" encoding="utf-8"?>
<Properties xmlns="http://schemas.openxmlformats.org/officeDocument/2006/custom-properties" xmlns:vt="http://schemas.openxmlformats.org/officeDocument/2006/docPropsVTypes"/>
</file>