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معمر
</w:t>
      </w:r>
    </w:p>
    <w:p>
      <w:pPr>
        <w:jc w:val="start"/>
        <w:bidi/>
      </w:pPr>
      <w:r>
        <w:rPr>
          <w:rFonts w:ascii="arial" w:hAnsi="arial" w:eastAsia="arial" w:cs="arial"/>
          <w:sz w:val="28"/>
          <w:szCs w:val="28"/>
          <w:b w:val="1"/>
          <w:bCs w:val="1"/>
          <w:rtl/>
        </w:rPr>
        <w:t xml:space="preserve">ابن معمر
</w:t>
      </w:r>
    </w:p>
    <w:p>
      <w:pPr/>
      <w:r>
        <w:rPr/>
        <w:t xml:space="preserve">ابن معمر  عثمان بن حمد بن معمر النجدي: رئيس (العيينة) من بلاد نجد، في بدء ايام الشيخ محمد بن عبد الوهاب. قصده الشيخ، وكان مما قال له: (ارجو ان قمت بنصر لا اله الا الله ان يظهرك الله تعالى وتملك نجدا واعرابها) فوعده بمساعدته. ثم تلكأ، وفارقه الشيخ إلى محمد بن سعود بالدرعية سنة 1158هـ ، فندم عثمان ولحق به، فلم يجد منه اطمئنانا اليه، فعاد إلى العيينة. وناصره في مواطن عدة. وقاتل معه اعداءه، الا ان بعض رجاله من انصار الشيخ ذكروا انهم تحققوا منه نقض العهد وموالاة الاعداء سرا، فقتلوه في مسجد العيينة بعد انتهائه من صلاة الجمعة. </w:t>
      </w:r>
    </w:p>
    <w:p>
      <w:pPr>
        <w:jc w:val="start"/>
        <w:bidi/>
      </w:pPr>
      <w:r>
        <w:rPr>
          <w:sz w:val="24"/>
          <w:szCs w:val="24"/>
          <w:b w:val="1"/>
          <w:bCs w:val="1"/>
          <w:rtl/>
        </w:rPr>
        <w:t xml:space="preserve">
الأعلام،(دار العلم للملايين - بيروت،2002،ط 15،ج 4،ص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2026-07-24T12:35:24+03:00</dcterms:created>
  <dcterms:modified xsi:type="dcterms:W3CDTF">2026-07-24T12:35:24+03:00</dcterms:modified>
</cp:coreProperties>
</file>

<file path=docProps/custom.xml><?xml version="1.0" encoding="utf-8"?>
<Properties xmlns="http://schemas.openxmlformats.org/officeDocument/2006/custom-properties" xmlns:vt="http://schemas.openxmlformats.org/officeDocument/2006/docPropsVTypes"/>
</file>