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باي الثاني
</w:t>
      </w:r>
    </w:p>
    <w:p>
      <w:pPr>
        <w:jc w:val="start"/>
        <w:bidi/>
      </w:pPr>
      <w:r>
        <w:rPr>
          <w:rFonts w:ascii="arial" w:hAnsi="arial" w:eastAsia="arial" w:cs="arial"/>
          <w:sz w:val="28"/>
          <w:szCs w:val="28"/>
          <w:b w:val="1"/>
          <w:bCs w:val="1"/>
          <w:rtl/>
        </w:rPr>
        <w:t xml:space="preserve">علي باي الثاني
</w:t>
      </w:r>
    </w:p>
    <w:p>
      <w:pPr/>
      <w:r>
        <w:rPr/>
        <w:t xml:space="preserve">علي باي الثاني  علي بن حسين بن محمود بن محمد الرشيد، أبو الحسن: باي تونس. مولده ووفاته فيها. ولى إمارتها بعد وفاة أخيه الباي محمد الصادق (سنة 1299هـ) وبدأ حكمه بالعفو عن جميع العصاة ورد أملاكهم إليهم. وكانت الأعمال في أيامه، كلها في أيدي الفرنسيين، فبالغ في مسالمة الاستعمار، وعكف على الاشتغال بالفقه، فصنف (مناهج التعريف بأصول التكليف - ط) في فقه الحنفية. </w:t>
      </w:r>
    </w:p>
    <w:p>
      <w:pPr>
        <w:jc w:val="start"/>
        <w:bidi/>
      </w:pPr>
      <w:r>
        <w:rPr>
          <w:sz w:val="24"/>
          <w:szCs w:val="24"/>
          <w:b w:val="1"/>
          <w:bCs w:val="1"/>
          <w:rtl/>
        </w:rPr>
        <w:t xml:space="preserve">
الأعلام،(دار العلم للملايين - بيروت،2002،ط 15،ج 4،ص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2026-07-26T17:19:36+03:00</dcterms:created>
  <dcterms:modified xsi:type="dcterms:W3CDTF">2026-07-26T17:19:36+03:00</dcterms:modified>
</cp:coreProperties>
</file>

<file path=docProps/custom.xml><?xml version="1.0" encoding="utf-8"?>
<Properties xmlns="http://schemas.openxmlformats.org/officeDocument/2006/custom-properties" xmlns:vt="http://schemas.openxmlformats.org/officeDocument/2006/docPropsVTypes"/>
</file>