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جميع
</w:t>
      </w:r>
    </w:p>
    <w:p>
      <w:pPr>
        <w:jc w:val="start"/>
        <w:bidi/>
      </w:pPr>
      <w:r>
        <w:rPr>
          <w:rFonts w:ascii="arial" w:hAnsi="arial" w:eastAsia="arial" w:cs="arial"/>
          <w:sz w:val="28"/>
          <w:szCs w:val="28"/>
          <w:b w:val="1"/>
          <w:bCs w:val="1"/>
          <w:rtl/>
        </w:rPr>
        <w:t xml:space="preserve">عمرو بن جميع
</w:t>
      </w:r>
    </w:p>
    <w:p>
      <w:pPr/>
      <w:r>
        <w:rPr/>
        <w:t xml:space="preserve">عمرو بن جميع  عمرو بن جميع، أبو حفص: من فقهاء الإباضية. من أهل جزيرة (جربة) في المغرب. توفى بها، ودفن بمقبرة جامع تفروجين (بفتح التاء والفاء وتشديد الراء المضمومة) بجهة والغ القديمة، من الجزيرة. ترجم عن البربرية إلى العربية كتابا في (العقيدة) كان اعتماد الإباضية بجربة وغيرها عليه، في ابتداء الطلبة، ما عدا أهل (نفوسة) فان لهم كتاب (عقيدة) آخر، يعرف بعقيدة نفوسة. وللشماخي (صاحب السير) شرح لعقيدة ابن جميع، نشرهما وعلق عليهما أبو إسحاق إبراهيم اطفيش، وسماها (مقدمة التوحيد وشروحها- ط). </w:t>
      </w:r>
    </w:p>
    <w:p>
      <w:pPr>
        <w:jc w:val="start"/>
        <w:bidi/>
      </w:pPr>
      <w:r>
        <w:rPr>
          <w:sz w:val="24"/>
          <w:szCs w:val="24"/>
          <w:b w:val="1"/>
          <w:bCs w:val="1"/>
          <w:rtl/>
        </w:rPr>
        <w:t xml:space="preserve">
الأعلام،(دار العلم للملايين - بيروت،2002،ط 15،ج 5،ص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2026-07-23T18:06:49+03:00</dcterms:created>
  <dcterms:modified xsi:type="dcterms:W3CDTF">2026-07-23T18:06:49+03:00</dcterms:modified>
</cp:coreProperties>
</file>

<file path=docProps/custom.xml><?xml version="1.0" encoding="utf-8"?>
<Properties xmlns="http://schemas.openxmlformats.org/officeDocument/2006/custom-properties" xmlns:vt="http://schemas.openxmlformats.org/officeDocument/2006/docPropsVTypes"/>
</file>