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النون
</w:t>
      </w:r>
    </w:p>
    <w:p>
      <w:pPr>
        <w:jc w:val="start"/>
        <w:bidi/>
      </w:pPr>
      <w:r>
        <w:rPr>
          <w:rFonts w:ascii="arial" w:hAnsi="arial" w:eastAsia="arial" w:cs="arial"/>
          <w:sz w:val="28"/>
          <w:szCs w:val="28"/>
          <w:b w:val="1"/>
          <w:bCs w:val="1"/>
          <w:rtl/>
        </w:rPr>
        <w:t xml:space="preserve">ابن ذي النون
</w:t>
      </w:r>
    </w:p>
    <w:p>
      <w:pPr/>
      <w:r>
        <w:rPr/>
        <w:t xml:space="preserve">ابن ذي النون  الفتح بن موسى بن ذي النون، من هوارة، من البربر: صاحب حصن اقليش (Ucles) بالاندلس. كان ابوه اول من استقل عن حكم الامويين (انظر ترجمته) وقام هو بعد وفاة ابيه (سنة 295هـ) فتابع الغارات على أهل طليطلة إلى ان خرد يوما لمقاتلة فرسان منهم، هاجموه، فهزمهم وامعن في طلبهم، فغدر به رجل من اصحابه يعرف بالاقرع كان له ثأر عنده واصاب منه غرة فطعنه بحربة فقتله. </w:t>
      </w:r>
    </w:p>
    <w:p>
      <w:pPr>
        <w:jc w:val="start"/>
        <w:bidi/>
      </w:pPr>
      <w:r>
        <w:rPr>
          <w:sz w:val="24"/>
          <w:szCs w:val="24"/>
          <w:b w:val="1"/>
          <w:bCs w:val="1"/>
          <w:rtl/>
        </w:rPr>
        <w:t xml:space="preserve">
الأعلام،(دار العلم للملايين - بيروت،2002،ط 15،ج 5،ص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2026-07-23T18:07:18+03:00</dcterms:created>
  <dcterms:modified xsi:type="dcterms:W3CDTF">2026-07-23T18:07:18+03:00</dcterms:modified>
</cp:coreProperties>
</file>

<file path=docProps/custom.xml><?xml version="1.0" encoding="utf-8"?>
<Properties xmlns="http://schemas.openxmlformats.org/officeDocument/2006/custom-properties" xmlns:vt="http://schemas.openxmlformats.org/officeDocument/2006/docPropsVTypes"/>
</file>