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النسفي
</w:t>
      </w:r>
    </w:p>
    <w:p>
      <w:pPr>
        <w:jc w:val="start"/>
        <w:bidi/>
      </w:pPr>
      <w:r>
        <w:rPr>
          <w:rFonts w:ascii="arial" w:hAnsi="arial" w:eastAsia="arial" w:cs="arial"/>
          <w:sz w:val="28"/>
          <w:szCs w:val="28"/>
          <w:b w:val="1"/>
          <w:bCs w:val="1"/>
          <w:rtl/>
        </w:rPr>
        <w:t xml:space="preserve">برهان الدين النسفي
</w:t>
      </w:r>
    </w:p>
    <w:p>
      <w:pPr/>
      <w:r>
        <w:rPr/>
        <w:t xml:space="preserve">برهان الدين النسفي محمد بن محمد بن محمد الشيخ برهان النسفي الحنفي المنطقي صاحب التصانيف قال ابن الفوطي:</w:t>
      </w:r>
    </w:p>
    <w:p/>
    <w:p>
      <w:pPr/>
      <w:r>
        <w:rPr/>
        <w:t xml:space="preserve">هو شيخنا المحقق المدقق العلامة الحكيم له التصانيف المشهورة كان في الخلاف والفلسفة أوحد متع بحواسه وكان زاهدا وقد لخص تفسير الإمام فخر الدين، قدم بغداذ حاجا سنة خمس وسبعين واشتغل عليه هارون ابن الصاحب، مولده تقريبا سنة ست ماية وتوفي ببغداذ في سنة سبع وثمانين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2026-07-24T17:04:20+03:00</dcterms:created>
  <dcterms:modified xsi:type="dcterms:W3CDTF">2026-07-24T17:04:20+03:00</dcterms:modified>
</cp:coreProperties>
</file>

<file path=docProps/custom.xml><?xml version="1.0" encoding="utf-8"?>
<Properties xmlns="http://schemas.openxmlformats.org/officeDocument/2006/custom-properties" xmlns:vt="http://schemas.openxmlformats.org/officeDocument/2006/docPropsVTypes"/>
</file>