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الخطاب
</w:t>
      </w:r>
    </w:p>
    <w:p>
      <w:pPr>
        <w:jc w:val="start"/>
        <w:bidi/>
      </w:pPr>
      <w:r>
        <w:rPr>
          <w:rFonts w:ascii="arial" w:hAnsi="arial" w:eastAsia="arial" w:cs="arial"/>
          <w:sz w:val="28"/>
          <w:szCs w:val="28"/>
          <w:b w:val="1"/>
          <w:bCs w:val="1"/>
          <w:rtl/>
        </w:rPr>
        <w:t xml:space="preserve">أبو الخطاب
</w:t>
      </w:r>
    </w:p>
    <w:p>
      <w:pPr/>
      <w:r>
        <w:rPr/>
        <w:t xml:space="preserve">أبو الخطاب  أحمد بن علي بن عبد الله أبو الخطاب البغدادي: مقرئ صوفي مؤدب، من أهل بغداد. له مصنف في ’’القراء السبعة’’ وقصيدة في عدد الآي. </w:t>
      </w:r>
    </w:p>
    <w:p>
      <w:pPr>
        <w:jc w:val="start"/>
        <w:bidi/>
      </w:pPr>
      <w:r>
        <w:rPr>
          <w:sz w:val="24"/>
          <w:szCs w:val="24"/>
          <w:b w:val="1"/>
          <w:bCs w:val="1"/>
          <w:rtl/>
        </w:rPr>
        <w:t xml:space="preserve">
الأعلام،(دار العلم للملايين - بيروت،2002،ط 15،ج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الخطاب المقرئ
</w:t>
      </w:r>
    </w:p>
    <w:p>
      <w:pPr/>
      <w:r>
        <w:rPr/>
        <w:t xml:space="preserve">أبو الخطاب المقرئ أحمد بن علي بن عبد الله الصوفي أبو الخطاب المقرئ المؤدب البغداذي، كان أحد القراء المجودين المشهورين، قرأ على علي بن عمر الحمامي المقرئ، وله قصيدة في عد آي القرآن رواها عنه محمد بن عبد الباقي الأنصاري، وقصيدة في السنة رواها عنه عبد الوهاب الأنماطي، توفي سنة ست وسبعين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2026-07-26T08:11:29+03:00</dcterms:created>
  <dcterms:modified xsi:type="dcterms:W3CDTF">2026-07-26T08:11:29+03:00</dcterms:modified>
</cp:coreProperties>
</file>

<file path=docProps/custom.xml><?xml version="1.0" encoding="utf-8"?>
<Properties xmlns="http://schemas.openxmlformats.org/officeDocument/2006/custom-properties" xmlns:vt="http://schemas.openxmlformats.org/officeDocument/2006/docPropsVTypes"/>
</file>