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حسان النملي
</w:t>
      </w:r>
    </w:p>
    <w:p>
      <w:pPr>
        <w:jc w:val="start"/>
        <w:bidi/>
      </w:pPr>
      <w:r>
        <w:rPr>
          <w:rFonts w:ascii="arial" w:hAnsi="arial" w:eastAsia="arial" w:cs="arial"/>
          <w:sz w:val="28"/>
          <w:szCs w:val="28"/>
          <w:b w:val="1"/>
          <w:bCs w:val="1"/>
          <w:rtl/>
        </w:rPr>
        <w:t xml:space="preserve">محمد بن حسان النملي
</w:t>
      </w:r>
    </w:p>
    <w:p>
      <w:pPr/>
      <w:r>
        <w:rPr/>
        <w:t xml:space="preserve">محمد بن حسان النملي يكنى أبا حسان، أحد الكتاب والأدباء وكان في أيام المتوكل وله معه حديث، وله كتاب برمان وحباحب وهو كبير في أخبار النساء والباه، كتاب آخر صغير في هذا المعنى، كتاب البغاء، كتاب السحق، كتاب خطاب المكاري لجارية البقال.</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حسان النملي، يكنى أبا حسان
</w:t>
      </w:r>
    </w:p>
    <w:p>
      <w:pPr/>
      <w:r>
        <w:rPr/>
        <w:t xml:space="preserve">محمد بن حسان النملي، يكنى أبا حسان: أحد الكتاب الطياب والأدباء، وكان في أيام المتوكل وله معه أحاديث، وله كتاب برجان وحباحب- وهو كبير- في أخبار النساء والباه. كتاب آخر صغير في هذا المعنى. كتاب البغاء. كتاب السحق.</w:t>
      </w:r>
    </w:p>
    <w:p/>
    <w:p>
      <w:pPr/>
      <w:r>
        <w:rPr/>
        <w:t xml:space="preserve">كتاب خطاب المكاري لجارية البقال.</w:t>
      </w:r>
    </w:p>
    <w:p>
      <w:pPr>
        <w:jc w:val="start"/>
        <w:bidi/>
      </w:pPr>
      <w:r>
        <w:rPr>
          <w:sz w:val="24"/>
          <w:szCs w:val="24"/>
          <w:b w:val="1"/>
          <w:bCs w:val="1"/>
          <w:rtl/>
        </w:rPr>
        <w:t xml:space="preserve">
معجم الأدباء / إرشاد الأريب إلى معرفة الأديب،(دار الغرب الإسلامي - بيروت،1993،ط 0،ج 6،ص 2484)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حسان أبو حسان النملي 
</w:t>
      </w:r>
    </w:p>
    <w:p>
      <w:pPr/>
      <w:r>
        <w:rPr/>
        <w:t xml:space="preserve">محمد بن حسّان، أبو حسّان النّمليّ. </w:t>
      </w:r>
    </w:p>
    <w:p/>
    <w:p>
      <w:pPr/>
      <w:r>
        <w:rPr/>
        <w:t xml:space="preserve">قال محمد بن إسحاق: كان في أيام المتوكّل، وله معه أحاديث.</w:t>
      </w:r>
    </w:p>
    <w:p/>
    <w:p>
      <w:pPr/>
      <w:r>
        <w:rPr/>
        <w:t xml:space="preserve">وله من الكتب: كتاب بركات وحاجب في أخبار النساء والباه، وكتاب الصّغير، في هذا المعنى، وكتاب البغاء، وكتاب السّحق، وكتاب خطاب المكاري لجارية البقّال. </w:t>
      </w:r>
    </w:p>
    <w:p>
      <w:pPr>
        <w:jc w:val="start"/>
        <w:bidi/>
      </w:pPr>
      <w:r>
        <w:rPr>
          <w:sz w:val="24"/>
          <w:szCs w:val="24"/>
          <w:b w:val="1"/>
          <w:bCs w:val="1"/>
          <w:rtl/>
        </w:rPr>
        <w:t xml:space="preserve">
الدر الثمين في أسماء المصنفين،(دار الغرب الإسلامي - تونس،2009،ط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2026-07-27T10:16:03+03:00</dcterms:created>
  <dcterms:modified xsi:type="dcterms:W3CDTF">2026-07-27T10:16:03+03:00</dcterms:modified>
</cp:coreProperties>
</file>

<file path=docProps/custom.xml><?xml version="1.0" encoding="utf-8"?>
<Properties xmlns="http://schemas.openxmlformats.org/officeDocument/2006/custom-properties" xmlns:vt="http://schemas.openxmlformats.org/officeDocument/2006/docPropsVTypes"/>
</file>