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شمس الدين ابن المجد محمد بن عيسى بن عبد المطلب العلامة المناظر القاضي شمس الدين ابن المجد البعلبكي الشافعي
</w:t>
      </w:r>
    </w:p>
    <w:p>
      <w:pPr>
        <w:jc w:val="start"/>
        <w:bidi/>
      </w:pPr>
      <w:r>
        <w:rPr>
          <w:rFonts w:ascii="arial" w:hAnsi="arial" w:eastAsia="arial" w:cs="arial"/>
          <w:sz w:val="28"/>
          <w:szCs w:val="28"/>
          <w:b w:val="1"/>
          <w:bCs w:val="1"/>
          <w:rtl/>
        </w:rPr>
        <w:t xml:space="preserve">القاضي شمس الدين ابن المجد محمد بن عيسى بن عبد المطلب العلامة المناظر القاضي شمس الدين ابن المجد البعلبكي الشافعي
</w:t>
      </w:r>
    </w:p>
    <w:p>
      <w:pPr/>
      <w:r>
        <w:rPr/>
        <w:t xml:space="preserve">القاضي شمس الدين ابن المجد محمد بن عيسى بن عبد المطلب العلامة المناظر القاضي شمس الدين ابن المجد البعلبكي الشافعي ولد سنة ست وستين ببعلبك وتوفي سنة ثلاثين وسبع مائة.</w:t>
      </w:r>
    </w:p>
    <w:p/>
    <w:p>
      <w:pPr/>
      <w:r>
        <w:rPr/>
        <w:t xml:space="preserve">تفقه وبرع بحلب وكان صاحب فنون، ولي قضاء بعلبك مدة، ثم ترك ذلك وسكن دمشق وأم بتربة أم الصالح ودرس بالقوصية، ثم نقل إلى قضاء طرابلس فمات بعد أشهر.</w:t>
      </w:r>
    </w:p>
    <w:p/>
    <w:p>
      <w:pPr/>
      <w:r>
        <w:rPr/>
        <w:t xml:space="preserve">وسمع الكثير وقرأ على ابن مشرف والموازيني وأسمع ولده، وكان قد سمع سنن ابن ماجه من القاضي تاج الدين عبد الخالق بن عبد السلام بن سعيد بن علوان وأجاز لي بخطه في سنة تسع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2026-07-27T12:51:14+03:00</dcterms:created>
  <dcterms:modified xsi:type="dcterms:W3CDTF">2026-07-27T12:51:14+03:00</dcterms:modified>
</cp:coreProperties>
</file>

<file path=docProps/custom.xml><?xml version="1.0" encoding="utf-8"?>
<Properties xmlns="http://schemas.openxmlformats.org/officeDocument/2006/custom-properties" xmlns:vt="http://schemas.openxmlformats.org/officeDocument/2006/docPropsVTypes"/>
</file>