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تاج الدين ابن مزيز
</w:t>
      </w:r>
    </w:p>
    <w:p>
      <w:pPr>
        <w:jc w:val="start"/>
        <w:bidi/>
      </w:pPr>
      <w:r>
        <w:rPr>
          <w:rFonts w:ascii="arial" w:hAnsi="arial" w:eastAsia="arial" w:cs="arial"/>
          <w:sz w:val="28"/>
          <w:szCs w:val="28"/>
          <w:b w:val="1"/>
          <w:bCs w:val="1"/>
          <w:rtl/>
        </w:rPr>
        <w:t xml:space="preserve">تاج الدين ابن مزيز
</w:t>
      </w:r>
    </w:p>
    <w:p>
      <w:pPr/>
      <w:r>
        <w:rPr/>
        <w:t xml:space="preserve">تاج الدين ابن مزيز أحمد بن إدريس بن محمد بن مفرج بن مزيز -بزائين منقوطتين بينهما ياء منقوطة- الشيخ الإمام الفاضل الرئيس المعمر تاج الدين أبو العباس ابن تقي الدين الحموي الشافعي الكاتب، ولد سنة ثلاث وأربعين، سمعه أبوه حضورا في سنة ست من صفية بنت عبد الوهاب القرشية وارتحل فسمعه من مكي بن علان ومحمد بن عبد الهادي واليلداني والشرف الإربلي والبكري واليونيني، وسمع ببلده من شيخ الشيوخ وبمصر من أصحاب البوصيري وأجاز له من بغداذ إبراهيم بن الخير وابن العليق ويحيى بن قميرة وأخوه أحمد، وقرأ عليه الشيخ تقي الدين ابن تيمية وعلى أبيه جزءا في سنة ثمانين، وحدث بأشياء وتفرد ورحل إليه وكان صينا رئيسا وقورا، ذكر مرة لوزارة حماة، أخذ الشيخ شمس الدين عنه بدمشق، وتوفي سنة ثلاث وثلاثين وسبع مائة وقد نيف على التسعين. </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2026-07-27T10:00:42+03:00</dcterms:created>
  <dcterms:modified xsi:type="dcterms:W3CDTF">2026-07-27T10:00:42+03:00</dcterms:modified>
</cp:coreProperties>
</file>

<file path=docProps/custom.xml><?xml version="1.0" encoding="utf-8"?>
<Properties xmlns="http://schemas.openxmlformats.org/officeDocument/2006/custom-properties" xmlns:vt="http://schemas.openxmlformats.org/officeDocument/2006/docPropsVTypes"/>
</file>