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الخرقي الشافعي
</w:t>
      </w:r>
    </w:p>
    <w:p>
      <w:pPr>
        <w:jc w:val="start"/>
        <w:bidi/>
      </w:pPr>
      <w:r>
        <w:rPr>
          <w:rFonts w:ascii="arial" w:hAnsi="arial" w:eastAsia="arial" w:cs="arial"/>
          <w:sz w:val="28"/>
          <w:szCs w:val="28"/>
          <w:b w:val="1"/>
          <w:bCs w:val="1"/>
          <w:rtl/>
        </w:rPr>
        <w:t xml:space="preserve">تقي الدين الخرقي الشافعي
</w:t>
      </w:r>
    </w:p>
    <w:p>
      <w:pPr/>
      <w:r>
        <w:rPr/>
        <w:t xml:space="preserve">تقي الدين الخرقي الشافعي أحمد بن المبارك بن نوفل الإمام تقي الدين أبو العباس النصيبي الخرقي -بضم الخاء المعجمة والراء الساكنة والقاف- وهي قرية من عمل نصيبين، كان إماما عالما قدم الموصل بعد الست مائة وقرأ بها العربية على أبي حفص عمر بن أحمد السفني -بكسرالسين- وبرع في العلم، قرأ عليه الملك المظفر والملك الصالح وصنف كتابا ’’في الأحكام’’ وشرح ’’الدريدية’’ وألف كتابا ’’في العروض’’ وكتابا في الخطب وشرح ’’الملحة’’ وله منظومة في الفرائض، ومنظومة في المسائل الملقبات، وسكن سنجار ودرس بها مذهب الشافعي ثم إنه انتقل إلى الجزيرة وتوفي سنة أربع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2026-07-27T14:25:00+03:00</dcterms:created>
  <dcterms:modified xsi:type="dcterms:W3CDTF">2026-07-27T14:25:00+03:00</dcterms:modified>
</cp:coreProperties>
</file>

<file path=docProps/custom.xml><?xml version="1.0" encoding="utf-8"?>
<Properties xmlns="http://schemas.openxmlformats.org/officeDocument/2006/custom-properties" xmlns:vt="http://schemas.openxmlformats.org/officeDocument/2006/docPropsVTypes"/>
</file>