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الدينوري الحنبلي
</w:t>
      </w:r>
    </w:p>
    <w:p>
      <w:pPr>
        <w:jc w:val="start"/>
        <w:bidi/>
      </w:pPr>
      <w:r>
        <w:rPr>
          <w:rFonts w:ascii="arial" w:hAnsi="arial" w:eastAsia="arial" w:cs="arial"/>
          <w:sz w:val="28"/>
          <w:szCs w:val="28"/>
          <w:b w:val="1"/>
          <w:bCs w:val="1"/>
          <w:rtl/>
        </w:rPr>
        <w:t xml:space="preserve">أبو بكر الدينوري الحنبلي
</w:t>
      </w:r>
    </w:p>
    <w:p>
      <w:pPr/>
      <w:r>
        <w:rPr/>
        <w:t xml:space="preserve">أبو بكر الدينوري الحنبلي أحمد بن محمد بن أحمد الدينوري أبو بكر ابن أبي الفتح الفقيه الحنبلي البغداذي، قرأ الفقه على أبي الخطاب الكلوذاني حتى برع في المذهب واالخلاف، وكان مليح المناظرة جيد العبارة مع لحن وعدم معرفة بالعربية، وولي الإشراف على البيمارستان. سمع رزق الله بن عبد الوهاب التميمي والحسين بن أحمد النعالي وحدث باليسير. وقال أبو سعد السمعاني: سمعت أبا الحسن علي بن محمد البروجردي يقول: كان شيخنا أسعد المهيني ببغداذ يقول: أبو بكر الدينوري الإمام ما اعترض على دليل أحد إلا ثلم في ذيله ثلمة. وتوفي سنة اثنتين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2026-07-27T15:48:56+03:00</dcterms:created>
  <dcterms:modified xsi:type="dcterms:W3CDTF">2026-07-27T15:48:56+03:00</dcterms:modified>
</cp:coreProperties>
</file>

<file path=docProps/custom.xml><?xml version="1.0" encoding="utf-8"?>
<Properties xmlns="http://schemas.openxmlformats.org/officeDocument/2006/custom-properties" xmlns:vt="http://schemas.openxmlformats.org/officeDocument/2006/docPropsVTypes"/>
</file>