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شهاب الدين الكركي
</w:t>
      </w:r>
    </w:p>
    <w:p>
      <w:pPr>
        <w:jc w:val="start"/>
        <w:bidi/>
      </w:pPr>
      <w:r>
        <w:rPr>
          <w:rFonts w:ascii="arial" w:hAnsi="arial" w:eastAsia="arial" w:cs="arial"/>
          <w:sz w:val="28"/>
          <w:szCs w:val="28"/>
          <w:b w:val="1"/>
          <w:bCs w:val="1"/>
          <w:rtl/>
        </w:rPr>
        <w:t xml:space="preserve">شهاب الدين الكركي
</w:t>
      </w:r>
    </w:p>
    <w:p>
      <w:pPr/>
      <w:r>
        <w:rPr/>
        <w:t xml:space="preserve">شهاب الدين الكركي أحمد بن محمد بن ميكال الأديب الأمير العلامة شهاب الدين الربعي الكركي، له تصانيف ونظم ونثر ويد طولي في العربية وكان من أعيان الجند، توفي سنة خمس وسبعين وستمائة. </w:t>
      </w:r>
    </w:p>
    <w:p>
      <w:pPr>
        <w:jc w:val="start"/>
        <w:bidi/>
      </w:pPr>
      <w:r>
        <w:rPr>
          <w:sz w:val="24"/>
          <w:szCs w:val="24"/>
          <w:b w:val="1"/>
          <w:bCs w:val="1"/>
          <w:rtl/>
        </w:rPr>
        <w:t xml:space="preserve">
الوافي بالوفيات،(دار فرانز شتاينر، فيسبادن، ألمانيا / دار إحياء التراث - بيروت،2000،ط 1،ج 8،ص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2026-07-27T09:37:02+03:00</dcterms:created>
  <dcterms:modified xsi:type="dcterms:W3CDTF">2026-07-27T09:37:02+03:00</dcterms:modified>
</cp:coreProperties>
</file>

<file path=docProps/custom.xml><?xml version="1.0" encoding="utf-8"?>
<Properties xmlns="http://schemas.openxmlformats.org/officeDocument/2006/custom-properties" xmlns:vt="http://schemas.openxmlformats.org/officeDocument/2006/docPropsVTypes"/>
</file>