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القوهي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القوهي
</w:t>
      </w:r>
    </w:p>
    <w:p>
      <w:pPr/>
      <w:r>
        <w:rPr/>
        <w:t xml:space="preserve">أبو بكر القوهي أحمد بن محمد أبو بكر القوهي. ذكره الثعالبي في تتمة اليتيمة وقال: أحد فضلاء الزوازنة وشعرائها يقول في شكاية فقهائها لما اختاروا لزعامتهم إسرافيل الغرنوي:</w:t>
      </w:r>
    </w:p>
    <w:p/>
    <w:p>
      <w:pPr>
        <w:jc w:val="center"/>
      </w:pPr>
      <w:r>
        <w:rPr>
          <w:color w:val="ff0000"/>
        </w:rPr>
        <w:t xml:space="preserve">لنا فقهاء شرهم جد محكم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زل خير منهم فهو ينسخ</w:t>
      </w:r>
    </w:p>
    <w:p/>
    <w:p>
      <w:pPr>
        <w:jc w:val="center"/>
      </w:pPr>
      <w:r>
        <w:rPr>
          <w:color w:val="ff0000"/>
        </w:rPr>
        <w:t xml:space="preserve">أقاموا على الناس القيامة جهرة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وجاءوا بإسرافيل في الصور ينفخ</w:t>
      </w:r>
    </w:p>
    <w:p/>
    <w:p>
      <w:pPr/>
      <w:r>
        <w:rPr/>
        <w:t xml:space="preserve">وله من قصيدة:</w:t>
      </w:r>
    </w:p>
    <w:p/>
    <w:p>
      <w:pPr>
        <w:jc w:val="center"/>
      </w:pPr>
      <w:r>
        <w:rPr>
          <w:color w:val="ff0000"/>
        </w:rPr>
        <w:t xml:space="preserve">كم من مؤد له عقار</w:t>
      </w:r>
      <w:r>
        <w:rPr>
          <w:color w:val="ff0000"/>
        </w:rPr>
        <w:t xml:space="preserve">      </w:t>
      </w:r>
      <w:r>
        <w:rPr>
          <w:color w:val="ff0000"/>
        </w:rPr>
        <w:t xml:space="preserve">عقاره شد وهو خفا</w:t>
      </w:r>
    </w:p>
    <w:p/>
    <w:p>
      <w:pPr/>
      <w:r>
        <w:rPr/>
        <w:t xml:space="preserve">يعني صار عقارا بالتشديد وصار هو موديا بالتخفيف.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2026-07-27T10:09:34+03:00</dcterms:created>
  <dcterms:modified xsi:type="dcterms:W3CDTF">2026-07-27T10:09:34+03:00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