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المنجور
</w:t>
      </w:r>
    </w:p>
    <w:p>
      <w:pPr>
        <w:jc w:val="start"/>
        <w:bidi/>
      </w:pPr>
      <w:r>
        <w:rPr>
          <w:rFonts w:ascii="arial" w:hAnsi="arial" w:eastAsia="arial" w:cs="arial"/>
          <w:sz w:val="28"/>
          <w:szCs w:val="28"/>
          <w:b w:val="1"/>
          <w:bCs w:val="1"/>
          <w:rtl/>
        </w:rPr>
        <w:t xml:space="preserve">المنجور
</w:t>
      </w:r>
    </w:p>
    <w:p>
      <w:pPr/>
      <w:r>
        <w:rPr/>
        <w:t xml:space="preserve">المنجور  أحمد بن على بن عبد الرحمن، أبو العباس المنجور: فقيه مغربى، له علم بالأدب. أصله من مكناسة، وسكناه ووفاته بفاس. من كتبه (شرح المنهج المنتخب - خ) فى فقه المالكية، يعرف بشرح المنجور، و (مراقى المجد فى آيات السعد) و (حاشية على السنوسية الكبرى) فى العقائد و (فهرسة - خ) في أسماء شيوخه وشيوخهم، أجاز بها أمير المؤمنين أبا العباس المنصور أحمد بن محمد الشيخ بن الشريف الحسني، رأيتها عند محمد إبراهيم الكتاني، في الرباط، ومنها نسخة ثانية في حزانة الرباط (المجموع 1301 كتاني). </w:t>
      </w:r>
    </w:p>
    <w:p>
      <w:pPr>
        <w:jc w:val="start"/>
        <w:bidi/>
      </w:pPr>
      <w:r>
        <w:rPr>
          <w:sz w:val="24"/>
          <w:szCs w:val="24"/>
          <w:b w:val="1"/>
          <w:bCs w:val="1"/>
          <w:rtl/>
        </w:rPr>
        <w:t xml:space="preserve">
الأعلام،(دار العلم للملايين - بيروت،2002،ط 15،ج 1،ص 180)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2026-07-23T13:36:07+03:00</dcterms:created>
  <dcterms:modified xsi:type="dcterms:W3CDTF">2026-07-23T13:36:07+03:00</dcterms:modified>
</cp:coreProperties>
</file>

<file path=docProps/custom.xml><?xml version="1.0" encoding="utf-8"?>
<Properties xmlns="http://schemas.openxmlformats.org/officeDocument/2006/custom-properties" xmlns:vt="http://schemas.openxmlformats.org/officeDocument/2006/docPropsVTypes"/>
</file>