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المقرئ
</w:t>
      </w:r>
    </w:p>
    <w:p>
      <w:pPr>
        <w:jc w:val="start"/>
        <w:bidi/>
      </w:pPr>
      <w:r>
        <w:rPr>
          <w:rFonts w:ascii="arial" w:hAnsi="arial" w:eastAsia="arial" w:cs="arial"/>
          <w:sz w:val="28"/>
          <w:szCs w:val="28"/>
          <w:b w:val="1"/>
          <w:bCs w:val="1"/>
          <w:rtl/>
        </w:rPr>
        <w:t xml:space="preserve">الحكيم المقرئ
</w:t>
      </w:r>
    </w:p>
    <w:p>
      <w:pPr/>
      <w:r>
        <w:rPr/>
        <w:t xml:space="preserve">الحكيم المقرئ الحسن بن خلف بن يعقوب بن أحمد، أبو علي المقرئ المعروف بالحكيم أبي القاسم أيضا. سكن مصر وحدث بها عن أبي محمد عبد الله بن إبراهيم بن أيوب بن ماسي وعلي بن محمد بن أحمد بن لؤلؤ الوراق وعلي بن محمد بن أحمد بن كيسان وغيرهم. وروى عنه جماعة. وتوفي سنة اثنتين وأربعين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2026-07-27T08:11:40+03:00</dcterms:created>
  <dcterms:modified xsi:type="dcterms:W3CDTF">2026-07-27T08:11:40+03:00</dcterms:modified>
</cp:coreProperties>
</file>

<file path=docProps/custom.xml><?xml version="1.0" encoding="utf-8"?>
<Properties xmlns="http://schemas.openxmlformats.org/officeDocument/2006/custom-properties" xmlns:vt="http://schemas.openxmlformats.org/officeDocument/2006/docPropsVTypes"/>
</file>