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الكفري المقرئ
</w:t>
      </w:r>
    </w:p>
    <w:p>
      <w:pPr>
        <w:jc w:val="start"/>
        <w:bidi/>
      </w:pPr>
      <w:r>
        <w:rPr>
          <w:rFonts w:ascii="arial" w:hAnsi="arial" w:eastAsia="arial" w:cs="arial"/>
          <w:sz w:val="28"/>
          <w:szCs w:val="28"/>
          <w:b w:val="1"/>
          <w:bCs w:val="1"/>
          <w:rtl/>
        </w:rPr>
        <w:t xml:space="preserve">شهاب الدين الكفري المقرئ
</w:t>
      </w:r>
    </w:p>
    <w:p>
      <w:pPr/>
      <w:r>
        <w:rPr/>
        <w:t xml:space="preserve">شهاب الدين الكفري المقرئ الحسين بن سليمان بن فزارة؛ القاضي شهاب الدين الكفري- بفتح الكاف، وسكون الفاء، وبعدها راء- الدمشقي الحنفي.</w:t>
      </w:r>
    </w:p>
    <w:p/>
    <w:p>
      <w:pPr/>
      <w:r>
        <w:rPr/>
        <w:t xml:space="preserve">تلا بالسبع على علم الدين القاسم، وسمع من ابن طلحة، ومن ابن عبد الدايم، وتصدر للإقراء، وطال عمره، وقرأ عليه ابنه القاضي شرف الدين أحمد، وخلق من الفضلاء، ودرس وأفتى وناب في الحكم.</w:t>
      </w:r>
    </w:p>
    <w:p/>
    <w:p>
      <w:pPr/>
      <w:r>
        <w:rPr/>
        <w:t xml:space="preserve">وكان دينا خيرا عالما. توفي سنة تسع عشرة وسبعمائة، عن اثنتين وثمانين. ودرس بالطرخانية. وكان شيخ الإقراء بالمقدمية والزنجيلية.</w:t>
      </w:r>
    </w:p>
    <w:p/>
    <w:p>
      <w:pPr/>
      <w:r>
        <w:rPr/>
        <w:t xml:space="preserve">وقرأ بنفسه على ابن أبي اليسر، وكتب الطباق، وأضر بأخرة،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2026-07-27T06:49:10+03:00</dcterms:created>
  <dcterms:modified xsi:type="dcterms:W3CDTF">2026-07-27T06:49:10+03:00</dcterms:modified>
</cp:coreProperties>
</file>

<file path=docProps/custom.xml><?xml version="1.0" encoding="utf-8"?>
<Properties xmlns="http://schemas.openxmlformats.org/officeDocument/2006/custom-properties" xmlns:vt="http://schemas.openxmlformats.org/officeDocument/2006/docPropsVTypes"/>
</file>