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الكردلي
</w:t>
      </w:r>
    </w:p>
    <w:p>
      <w:pPr>
        <w:jc w:val="start"/>
        <w:bidi/>
      </w:pPr>
      <w:r>
        <w:rPr>
          <w:rFonts w:ascii="arial" w:hAnsi="arial" w:eastAsia="arial" w:cs="arial"/>
          <w:sz w:val="28"/>
          <w:szCs w:val="28"/>
          <w:b w:val="1"/>
          <w:bCs w:val="1"/>
          <w:rtl/>
        </w:rPr>
        <w:t xml:space="preserve">الواعظ الكردلي
</w:t>
      </w:r>
    </w:p>
    <w:p>
      <w:pPr/>
      <w:r>
        <w:rPr/>
        <w:t xml:space="preserve">الواعظ الكردلي الحسين بن عبد الله بن علي بن القاسم بن البقال الدلال، أبو عبد الله الواعظ المعروف بالكردلي- بكاف قبل الراء، ولام بعد الدال- البغدادي.</w:t>
      </w:r>
    </w:p>
    <w:p/>
    <w:p>
      <w:pPr/>
      <w:r>
        <w:rPr/>
        <w:t xml:space="preserve">سمع أباه وأبا إسحاق إبراهيم بن عمر البرمكي، وأبا محمد الحسن بن علي الجوهري، وأبا يعلى محمد بن الحسين بن الفراء، وأبا الغنائم عبد الصمد بن علي بن المأمون، وأبا جعفر بن المسلمة، وغيرهم.</w:t>
      </w:r>
    </w:p>
    <w:p/>
    <w:p>
      <w:pPr/>
      <w:r>
        <w:rPr/>
        <w:t xml:space="preserve">وروى عنه الحافظ السلفي، وسلمان بن علي صاحب ابن الذهبية، وأبو المعمر المبارك بن أحمد الأنصاري، وأبو القاسم عبد الواحد بن محمد المديني المعروف بدولجة. توفي سنة ثمان عشرة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2026-07-27T08:57:22+03:00</dcterms:created>
  <dcterms:modified xsi:type="dcterms:W3CDTF">2026-07-27T08:57:22+03:00</dcterms:modified>
</cp:coreProperties>
</file>

<file path=docProps/custom.xml><?xml version="1.0" encoding="utf-8"?>
<Properties xmlns="http://schemas.openxmlformats.org/officeDocument/2006/custom-properties" xmlns:vt="http://schemas.openxmlformats.org/officeDocument/2006/docPropsVTypes"/>
</file>