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الرويدشتي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الرويدشتي
</w:t>
      </w:r>
    </w:p>
    <w:p>
      <w:pPr/>
      <w:r>
        <w:rPr/>
        <w:t xml:space="preserve">الرويدشتي حيدر بن محمد بن الحسن بن محمد بن سراهنك العلوي الرويدشتي، السيد فخر الدين أبو الرضا. كان فاضلا، توفي سنة ثمان وأربعين وخمس مائة بعدما ناهز التسعين، ومن شعره: </w:t>
      </w:r>
    </w:p>
    <w:p/>
    <w:p>
      <w:pPr>
        <w:jc w:val="center"/>
      </w:pPr>
      <w:r>
        <w:rPr>
          <w:color w:val="ff0000"/>
        </w:rPr>
        <w:t xml:space="preserve">ليت نسيما رق قد رق 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مما بقلبي الهائم المغرم</w:t>
      </w:r>
    </w:p>
    <w:p/>
    <w:p>
      <w:pPr>
        <w:jc w:val="center"/>
      </w:pPr>
      <w:r>
        <w:rPr>
          <w:color w:val="ff0000"/>
        </w:rPr>
        <w:t xml:space="preserve">فأخبر الظاعن عن قاطن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وبلغ المنجد عن متهم</w:t>
      </w:r>
    </w:p>
    <w:p/>
    <w:p>
      <w:pPr>
        <w:jc w:val="center"/>
      </w:pPr>
      <w:r>
        <w:rPr>
          <w:color w:val="ff0000"/>
        </w:rPr>
        <w:t xml:space="preserve">لا خضلت أردانه سحرة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سيب واد مترع مفعم</w:t>
      </w:r>
    </w:p>
    <w:p/>
    <w:p>
      <w:pPr>
        <w:jc w:val="center"/>
      </w:pPr>
      <w:r>
        <w:rPr>
          <w:color w:val="ff0000"/>
        </w:rPr>
        <w:t xml:space="preserve">ولا هفا وهنا على زهرة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 أقحوان طيب المنسم</w:t>
      </w:r>
    </w:p>
    <w:p/>
    <w:p>
      <w:pPr>
        <w:jc w:val="center"/>
      </w:pPr>
      <w:r>
        <w:rPr>
          <w:color w:val="ff0000"/>
        </w:rPr>
        <w:t xml:space="preserve">إن لم يبلغ سهري مسهري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 لم يصف سقمي للمسقم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2026-07-27T18:54:58+03:00</dcterms:created>
  <dcterms:modified xsi:type="dcterms:W3CDTF">2026-07-27T18:54:58+03:00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