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القرظي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القرظي
</w:t>
      </w:r>
    </w:p>
    <w:p>
      <w:pPr/>
      <w:r>
        <w:rPr/>
        <w:t xml:space="preserve">القرظي سالم بن عبد الله المدني مولى محمد بن كعب القرظي. كتب عمر بن عبد العزيز إلى محمد بن كعب أن يبيعه غلامه سالما، وكان عابدا خيرا. فقال: إني قد دبرته، قال: فأزرنيه! فأتاه سالم، فقال عمر: إني قد ابتليت بما ترى وأنا والله أتخوف أن لا أنجو! فقال له سالم: إن كنت كما تقول فهذا نجاتك وإلا فهو الأمر الذي تخاف، قال: يا سالم: عظنا! قال: آدم صلى الله عليه وسلم على خطيئة واحدة خرج بها من الجنة، وأنتم تعلمون الخطايا ترجون أن تدخلوا بها الجنة! ثم سكت.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2026-07-26T08:20:53+03:00</dcterms:created>
  <dcterms:modified xsi:type="dcterms:W3CDTF">2026-07-26T08:20:53+03:00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