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النجار
</w:t>
      </w:r>
    </w:p>
    <w:p>
      <w:pPr>
        <w:jc w:val="start"/>
        <w:bidi/>
      </w:pPr>
      <w:r>
        <w:rPr>
          <w:rFonts w:ascii="arial" w:hAnsi="arial" w:eastAsia="arial" w:cs="arial"/>
          <w:sz w:val="28"/>
          <w:szCs w:val="28"/>
          <w:b w:val="1"/>
          <w:bCs w:val="1"/>
          <w:rtl/>
        </w:rPr>
        <w:t xml:space="preserve">ابن النجار
</w:t>
      </w:r>
    </w:p>
    <w:p>
      <w:pPr/>
      <w:r>
        <w:rPr/>
        <w:t xml:space="preserve">ابن النجار  محمد بن أحمد بن عبد العزيز الفتوحي، تقي الدين ابو البقاء، الشهير بابن النجار: فقيه حنبلي مصري. من القضاة قال الشعراني: صحبته أربعين سنة فما رأيت عليه شيئا يشينه، وما رأيت أحدا أحلى منطقا منه ولا أكثر أدبا مع جليسه. له (منتهى الإرادات في جمع المقنع مع التنقيح وزيادات –ط) مع شرحه للبهوتي، في فقه الحنابلة، و (شرحه –خ) غير تام. </w:t>
      </w:r>
    </w:p>
    <w:p>
      <w:pPr>
        <w:jc w:val="start"/>
        <w:bidi/>
      </w:pPr>
      <w:r>
        <w:rPr>
          <w:sz w:val="24"/>
          <w:szCs w:val="24"/>
          <w:b w:val="1"/>
          <w:bCs w:val="1"/>
          <w:rtl/>
        </w:rPr>
        <w:t xml:space="preserve">
الأعلام،(دار العلم للملايين - بيروت،2002،ط 15،ج 6،ص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2026-07-23T06:31:36+03:00</dcterms:created>
  <dcterms:modified xsi:type="dcterms:W3CDTF">2026-07-23T06:31:36+03:00</dcterms:modified>
</cp:coreProperties>
</file>

<file path=docProps/custom.xml><?xml version="1.0" encoding="utf-8"?>
<Properties xmlns="http://schemas.openxmlformats.org/officeDocument/2006/custom-properties" xmlns:vt="http://schemas.openxmlformats.org/officeDocument/2006/docPropsVTypes"/>
</file>