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الطرسوسي
</w:t>
      </w:r>
    </w:p>
    <w:p>
      <w:pPr>
        <w:jc w:val="start"/>
        <w:bidi/>
      </w:pPr>
      <w:r>
        <w:rPr>
          <w:rFonts w:ascii="arial" w:hAnsi="arial" w:eastAsia="arial" w:cs="arial"/>
          <w:sz w:val="28"/>
          <w:szCs w:val="28"/>
          <w:b w:val="1"/>
          <w:bCs w:val="1"/>
          <w:rtl/>
        </w:rPr>
        <w:t xml:space="preserve">الطرسوسي
</w:t>
      </w:r>
    </w:p>
    <w:p>
      <w:pPr/>
      <w:r>
        <w:rPr/>
        <w:t xml:space="preserve">الطرسوسي  محمد بن أحمد بن محمد الطرسوسي: فقيه حنفي، له اشتغال بالتفسير. من كتبه ’’تقريرات على كتاب المرآة –ط’’ في أصول الفقه الحنفي، و’’حاشية –ط’’ على مرقاة الوصول، لملا خسرو، و’’تفسير سورة لقمان –خ’’ و’’تفسير سورة الفاتحة وسورة العصر وسورة الكوثر –خ’’. </w:t>
      </w:r>
    </w:p>
    <w:p>
      <w:pPr>
        <w:jc w:val="start"/>
        <w:bidi/>
      </w:pPr>
      <w:r>
        <w:rPr>
          <w:sz w:val="24"/>
          <w:szCs w:val="24"/>
          <w:b w:val="1"/>
          <w:bCs w:val="1"/>
          <w:rtl/>
        </w:rPr>
        <w:t xml:space="preserve">
الأعلام،(دار العلم للملايين - بيروت،2002،ط 15،ج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2026-07-23T18:45:22+03:00</dcterms:created>
  <dcterms:modified xsi:type="dcterms:W3CDTF">2026-07-23T18:45:22+03:00</dcterms:modified>
</cp:coreProperties>
</file>

<file path=docProps/custom.xml><?xml version="1.0" encoding="utf-8"?>
<Properties xmlns="http://schemas.openxmlformats.org/officeDocument/2006/custom-properties" xmlns:vt="http://schemas.openxmlformats.org/officeDocument/2006/docPropsVTypes"/>
</file>