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علم الدين الحلبي
</w:t>
      </w:r>
    </w:p>
    <w:p>
      <w:pPr>
        <w:jc w:val="start"/>
        <w:bidi/>
      </w:pPr>
      <w:r>
        <w:rPr>
          <w:rFonts w:ascii="arial" w:hAnsi="arial" w:eastAsia="arial" w:cs="arial"/>
          <w:sz w:val="28"/>
          <w:szCs w:val="28"/>
          <w:b w:val="1"/>
          <w:bCs w:val="1"/>
          <w:rtl/>
        </w:rPr>
        <w:t xml:space="preserve">الشيخ علم الدين الحلبي
</w:t>
      </w:r>
    </w:p>
    <w:p>
      <w:pPr/>
      <w:r>
        <w:rPr/>
        <w:t xml:space="preserve">الشيخ علم الدين الحلبي طلحة الشيخ الإمام علم الدين الحلبي المقرئ النحوي الشافعي؛ كان أصله مملوكا يدعى سنجر فغيره بذلك. كان يعرف الحاجبية جيدا ومختصر ابن الحاجب والتعجيز؛ قرأت عليه بحلب مدة مقامي بها قطعة جيدة من كتاب البيوع من التعجيز، وكان يراعي الإعراب في كلامه وبحثه، وكان شيخا طوالا حسن القراءة جيد الصوت طيبه، يعرف القراءات جيدا؛ سافر إلى الشيخ برهان الدين الجعبري وأخذ التعجيز عنه، وتوفي سنة ست وعشرين وسبعمائة تقريبا. </w:t>
      </w:r>
    </w:p>
    <w:p>
      <w:pPr>
        <w:jc w:val="start"/>
        <w:bidi/>
      </w:pPr>
      <w:r>
        <w:rPr>
          <w:sz w:val="24"/>
          <w:szCs w:val="24"/>
          <w:b w:val="1"/>
          <w:bCs w:val="1"/>
          <w:rtl/>
        </w:rPr>
        <w:t xml:space="preserve">
الوافي بالوفيات،(دار فرانز شتاينر، فيسبادن، ألمانيا / دار إحياء التراث - بيروت،2000،ط 1،ج 16،ص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2026-07-27T14:15:57+03:00</dcterms:created>
  <dcterms:modified xsi:type="dcterms:W3CDTF">2026-07-27T14:15:57+03:00</dcterms:modified>
</cp:coreProperties>
</file>

<file path=docProps/custom.xml><?xml version="1.0" encoding="utf-8"?>
<Properties xmlns="http://schemas.openxmlformats.org/officeDocument/2006/custom-properties" xmlns:vt="http://schemas.openxmlformats.org/officeDocument/2006/docPropsVTypes"/>
</file>