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الظاهري ابن المغلس
</w:t>
      </w:r>
    </w:p>
    <w:p>
      <w:pPr>
        <w:jc w:val="start"/>
        <w:bidi/>
      </w:pPr>
      <w:r>
        <w:rPr>
          <w:rFonts w:ascii="arial" w:hAnsi="arial" w:eastAsia="arial" w:cs="arial"/>
          <w:sz w:val="28"/>
          <w:szCs w:val="28"/>
          <w:b w:val="1"/>
          <w:bCs w:val="1"/>
          <w:rtl/>
        </w:rPr>
        <w:t xml:space="preserve">أبو الحسن الظاهري ابن المغلس
</w:t>
      </w:r>
    </w:p>
    <w:p>
      <w:pPr/>
      <w:r>
        <w:rPr/>
        <w:t xml:space="preserve">أبو الحسن الظاهري ابن المغلس عبد الله بن أحمد بن المغلس البغدادي، أبو الحسن الفقيه الداودي الظاهري. له مصنفات في مذهبه. أخذ عن محمد بن داود الظاهري، وانتشر عنه مذهب أهل الظاهر في البلاد، وكان ثقة، مأمونا، إماما، واسع العلم، كبير المحل، وتوفي سنة أربع وعشرين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المغلس
</w:t>
      </w:r>
    </w:p>
    <w:p>
      <w:pPr/>
      <w:r>
        <w:rPr/>
        <w:t xml:space="preserve">ابن المغلس الإمام العلامة، فقيه العراق، أبو الحسن عبد الله ابن المحدث أحمد بن محمد المغلس البغدادي، الداوودي، الظاهري، صاحب التصانيف.</w:t>
      </w:r>
    </w:p>
    <w:p/>
    <w:p>
      <w:pPr/>
      <w:r>
        <w:rPr/>
        <w:t xml:space="preserve">حدث عن: جده، وجعفر بن محمد بن شاكر، وأبي قلابة الرقاشي، وإسماعيل القاضي، وطبقتهم. وتفقه على: أبي بكر محمد بن داود، وبرع وتقدم.</w:t>
      </w:r>
    </w:p>
    <w:p/>
    <w:p>
      <w:pPr/>
      <w:r>
        <w:rPr/>
        <w:t xml:space="preserve">أخذ عنه: أبو المفضل الشيباني ونحوه.</w:t>
      </w:r>
    </w:p>
    <w:p/>
    <w:p>
      <w:pPr/>
      <w:r>
        <w:rPr/>
        <w:t xml:space="preserve">وعنه انتشر مذهب الظاهرية في البلاد، وكان من بحور العلم، حمل عنه تلميذه حيدرة بن عمر، والقاضي عبد الله بن محمد ابن أخت وليد قاضي مصر، والفقيه علي بن خالد البصري، وطائفة.</w:t>
      </w:r>
    </w:p>
    <w:p/>
    <w:p>
      <w:pPr/>
      <w:r>
        <w:rPr/>
        <w:t xml:space="preserve">وله من التصانيف: كتاب ’’أحكام القرآن’’، وكتاب ’’الموضح’’ في الفقه، وكتاب ’’المبهج’’، وكتاب ’’الدامغ’’ في الرد على من خالفه وغير ذلك.</w:t>
      </w:r>
    </w:p>
    <w:p/>
    <w:p>
      <w:pPr/>
      <w:r>
        <w:rPr/>
        <w:t xml:space="preserve">مات في سنة أربع وعشرين وثلاث مائة عن نيف وستين سنة.</w:t>
      </w:r>
    </w:p>
    <w:p>
      <w:pPr>
        <w:jc w:val="start"/>
        <w:bidi/>
      </w:pPr>
      <w:r>
        <w:rPr>
          <w:sz w:val="24"/>
          <w:szCs w:val="24"/>
          <w:b w:val="1"/>
          <w:bCs w:val="1"/>
          <w:rtl/>
        </w:rPr>
        <w:t xml:space="preserve">
سير أعلام النبلاء،(دار الحديث- القاهرة،2006،ط 0،ج 11،ص 387)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2026-07-27T14:19:57+03:00</dcterms:created>
  <dcterms:modified xsi:type="dcterms:W3CDTF">2026-07-27T14:19:57+03:00</dcterms:modified>
</cp:coreProperties>
</file>

<file path=docProps/custom.xml><?xml version="1.0" encoding="utf-8"?>
<Properties xmlns="http://schemas.openxmlformats.org/officeDocument/2006/custom-properties" xmlns:vt="http://schemas.openxmlformats.org/officeDocument/2006/docPropsVTypes"/>
</file>