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العمراني
</w:t>
      </w:r>
    </w:p>
    <w:p>
      <w:pPr>
        <w:jc w:val="start"/>
        <w:bidi/>
      </w:pPr>
      <w:r>
        <w:rPr>
          <w:rFonts w:ascii="arial" w:hAnsi="arial" w:eastAsia="arial" w:cs="arial"/>
          <w:sz w:val="28"/>
          <w:szCs w:val="28"/>
          <w:b w:val="1"/>
          <w:bCs w:val="1"/>
          <w:rtl/>
        </w:rPr>
        <w:t xml:space="preserve">العمراني
</w:t>
      </w:r>
    </w:p>
    <w:p>
      <w:pPr/>
      <w:r>
        <w:rPr/>
        <w:t xml:space="preserve">العمراني  محمد بن أسعد بن محمد بن موسى العمراني، بهاء الدين: قاض يماني. من الشعراء الكتاب البلغاء الخطباء الدهاة في عصره. استوزره المظفر الرسولي (صاحب اليمن) وولاه قضاء الأقضية، فكان أول من جمع بين الوزارة والقضاء الأكبر. وحسنت سياسته في تدبير المملكة. جمعت رسائله في مجلد ضخم. ونسبته إلى جد له اسمه ’’عمران’’. </w:t>
      </w:r>
    </w:p>
    <w:p>
      <w:pPr>
        <w:jc w:val="start"/>
        <w:bidi/>
      </w:pPr>
      <w:r>
        <w:rPr>
          <w:sz w:val="24"/>
          <w:szCs w:val="24"/>
          <w:b w:val="1"/>
          <w:bCs w:val="1"/>
          <w:rtl/>
        </w:rPr>
        <w:t xml:space="preserve">
الأعلام،(دار العلم للملايين - بيروت،2002،ط 15،ج 6،ص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2026-07-27T08:48:40+03:00</dcterms:created>
  <dcterms:modified xsi:type="dcterms:W3CDTF">2026-07-27T08:48:40+03:00</dcterms:modified>
</cp:coreProperties>
</file>

<file path=docProps/custom.xml><?xml version="1.0" encoding="utf-8"?>
<Properties xmlns="http://schemas.openxmlformats.org/officeDocument/2006/custom-properties" xmlns:vt="http://schemas.openxmlformats.org/officeDocument/2006/docPropsVTypes"/>
</file>