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الأيوبي
</w:t>
      </w:r>
    </w:p>
    <w:p>
      <w:pPr>
        <w:jc w:val="start"/>
        <w:bidi/>
      </w:pPr>
      <w:r>
        <w:rPr>
          <w:rFonts w:ascii="arial" w:hAnsi="arial" w:eastAsia="arial" w:cs="arial"/>
          <w:sz w:val="28"/>
          <w:szCs w:val="28"/>
          <w:b w:val="1"/>
          <w:bCs w:val="1"/>
          <w:rtl/>
        </w:rPr>
        <w:t xml:space="preserve">المنصور الأيوبي
</w:t>
      </w:r>
    </w:p>
    <w:p>
      <w:pPr/>
      <w:r>
        <w:rPr/>
        <w:t xml:space="preserve">المنصور الأيوبي  محمد (المنصور شهاب الدين) ابن إسماعيل (الصالح أبي الخيش) ابن محمد (العادل) بن أيوب: من ملوك الدولة الايوبية. سلطنه أبوه في دمشق (سنة 640) وتقلبت به الاحوال. وكان شيخا مهيبا يلبس قباء وعمامة مدورة. ولعله هو الذي حاصر الفرنج في مدينة طرابلس نيفا وشهرا (أول ربيع الاول - 4 ربيع الآخر 688) وافتتحها وأخربها (كما يقول الذهبي في العبر) وساءت خاتمته فنقل صاحب الشذرات عن ابن مكتوم قوله: رأيته سلطانا، ورأيته يستعطي ! وتوفي في رمضان بدمشق. </w:t>
      </w:r>
    </w:p>
    <w:p>
      <w:pPr>
        <w:jc w:val="start"/>
        <w:bidi/>
      </w:pPr>
      <w:r>
        <w:rPr>
          <w:sz w:val="24"/>
          <w:szCs w:val="24"/>
          <w:b w:val="1"/>
          <w:bCs w:val="1"/>
          <w:rtl/>
        </w:rPr>
        <w:t xml:space="preserve">
الأعلام،(دار العلم للملايين - بيروت،2002،ط 15،ج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2026-07-27T10:28:58+03:00</dcterms:created>
  <dcterms:modified xsi:type="dcterms:W3CDTF">2026-07-27T10:28:58+03:00</dcterms:modified>
</cp:coreProperties>
</file>

<file path=docProps/custom.xml><?xml version="1.0" encoding="utf-8"?>
<Properties xmlns="http://schemas.openxmlformats.org/officeDocument/2006/custom-properties" xmlns:vt="http://schemas.openxmlformats.org/officeDocument/2006/docPropsVTypes"/>
</file>