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قاضي مالقة وخطيبها
</w:t>
      </w:r>
    </w:p>
    <w:p>
      <w:pPr>
        <w:jc w:val="start"/>
        <w:bidi/>
      </w:pPr>
      <w:r>
        <w:rPr>
          <w:rFonts w:ascii="arial" w:hAnsi="arial" w:eastAsia="arial" w:cs="arial"/>
          <w:sz w:val="28"/>
          <w:szCs w:val="28"/>
          <w:b w:val="1"/>
          <w:bCs w:val="1"/>
          <w:rtl/>
        </w:rPr>
        <w:t xml:space="preserve">قاضي مالقة وخطيبها
</w:t>
      </w:r>
    </w:p>
    <w:p>
      <w:pPr/>
      <w:r>
        <w:rPr/>
        <w:t xml:space="preserve">قاضي مالقة وخطيبها عبد الله بن يحيى بن عبد الرحمان بن أحمد بن عبد الرحمان بن ربيع، أبو القاسم، الأشعري نسبا، القرطبي، قاضي الجماعة بغرناطة. روى عن الخطيب أبي جعفر بن يحيى وتفرد بالرواية عنه وعن أبي الحسن علي الشقوري وأبي القاسم بن بقي وأبي الحسن بن خروف النحوي، وروى عنه ابن الزبير وأثنى عليه. وولي القضاء بشريش ومالقة وخطابتها وتصدر للأشغال. قال الشيخ أثير الدين أبو حيان: كان مسدد النظر رطب المناظرة منصفا أديبا نحويا فقسيها مشاركا في الأصول. توفي سنة ست وستين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2026-07-27T13:16:46+03:00</dcterms:created>
  <dcterms:modified xsi:type="dcterms:W3CDTF">2026-07-27T13:16:46+03:00</dcterms:modified>
</cp:coreProperties>
</file>

<file path=docProps/custom.xml><?xml version="1.0" encoding="utf-8"?>
<Properties xmlns="http://schemas.openxmlformats.org/officeDocument/2006/custom-properties" xmlns:vt="http://schemas.openxmlformats.org/officeDocument/2006/docPropsVTypes"/>
</file>