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البركات ابن النرسي
</w:t>
      </w:r>
    </w:p>
    <w:p>
      <w:pPr>
        <w:jc w:val="start"/>
        <w:bidi/>
      </w:pPr>
      <w:r>
        <w:rPr>
          <w:rFonts w:ascii="arial" w:hAnsi="arial" w:eastAsia="arial" w:cs="arial"/>
          <w:sz w:val="28"/>
          <w:szCs w:val="28"/>
          <w:b w:val="1"/>
          <w:bCs w:val="1"/>
          <w:rtl/>
        </w:rPr>
        <w:t xml:space="preserve">أبو البركات ابن النرسي
</w:t>
      </w:r>
    </w:p>
    <w:p>
      <w:pPr/>
      <w:r>
        <w:rPr/>
        <w:t xml:space="preserve">أبو البركات ابن النرسي عبد الباقي بن أحمد بن إبراهيم بن علي بن النرسي، أبو البركات الأزجي المحتسب البغداذي. قال ابن السمعاني: شيخ مسن بهي المنظر به طرش، وجدنا له ثلاثة أجزاء عن أبي القاسم عبد الله بن الحسن الخلال قرأناها عليه. قال الشيخ شمس الدين: سمعنا على أبي الفداء ابن الفراء أجزاء من حديث ابن صاعد بسماعه من أبي القاسم ابن صصرى والطبقة بخط الحافظ الضياء بإجازته من عبد الباقي بن النرسي بسماعه من القاضي أبي يعلى وفرحت بذلك، فلما تنبهت في الحديث بان لي أن هذا غلط، وأن عبد الباقي ولد بعد موت أبي يعلى بسنة.</w:t>
      </w:r>
    </w:p>
    <w:p/>
    <w:p>
      <w:pPr/>
      <w:r>
        <w:rPr/>
        <w:t xml:space="preserve">ولي أبو البركات قضاء باب الأزج، وولي الحسبة ببغداذ وبذل أموالا جمة فيهما.</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2026-07-26T01:37:20+03:00</dcterms:created>
  <dcterms:modified xsi:type="dcterms:W3CDTF">2026-07-26T01:37:20+03:00</dcterms:modified>
</cp:coreProperties>
</file>

<file path=docProps/custom.xml><?xml version="1.0" encoding="utf-8"?>
<Properties xmlns="http://schemas.openxmlformats.org/officeDocument/2006/custom-properties" xmlns:vt="http://schemas.openxmlformats.org/officeDocument/2006/docPropsVTypes"/>
</file>