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الصيمري
</w:t>
      </w:r>
    </w:p>
    <w:p>
      <w:pPr>
        <w:jc w:val="start"/>
        <w:bidi/>
      </w:pPr>
      <w:r>
        <w:rPr>
          <w:rFonts w:ascii="arial" w:hAnsi="arial" w:eastAsia="arial" w:cs="arial"/>
          <w:sz w:val="28"/>
          <w:szCs w:val="28"/>
          <w:b w:val="1"/>
          <w:bCs w:val="1"/>
          <w:rtl/>
        </w:rPr>
        <w:t xml:space="preserve">أبو القاسم الصيمري
</w:t>
      </w:r>
    </w:p>
    <w:p>
      <w:pPr/>
      <w:r>
        <w:rPr/>
        <w:t xml:space="preserve">أبو القاسم الصيمري عبد الرحمن بن الحسن، أبو القاسم الصيمري الفقيه. شيخ الشافعية، وهو من أصحاب الوجوه. تفقه بأبي الفياض البصري، وهو شيخ أقضى القضاة الماوردي. له كتاب الإيضاح في المذهب وهو كتاب جليل. ومن غرائب وجوهه أنه قال: لا يملك الرجل الكلأ النابت في ملكه. ومنها: لا يجوز مس المصحف لمن بعض بدنه نجس. كان حيا في سنة خمس وأربع مائة، ولم يعلم وقت وفاته.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2026-07-27T13:21:15+03:00</dcterms:created>
  <dcterms:modified xsi:type="dcterms:W3CDTF">2026-07-27T13:21:15+03:00</dcterms:modified>
</cp:coreProperties>
</file>

<file path=docProps/custom.xml><?xml version="1.0" encoding="utf-8"?>
<Properties xmlns="http://schemas.openxmlformats.org/officeDocument/2006/custom-properties" xmlns:vt="http://schemas.openxmlformats.org/officeDocument/2006/docPropsVTypes"/>
</file>