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خطيب رنده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خطيب رنده
</w:t>
      </w:r>
    </w:p>
    <w:p>
      <w:pPr/>
      <w:r>
        <w:rPr/>
        <w:t xml:space="preserve">خطيب رنده عبيد الله بن عاصم بن عيسى بن أحمد الخطيب. أبو الحسين، الأسدي، الرندي، خطيب رندة - بالراء والنون - وعاملها، ومسند الأندلس في وقته. </w:t>
      </w:r>
    </w:p>
    <w:p/>
    <w:p>
      <w:pPr/>
      <w:r>
        <w:rPr/>
        <w:t xml:space="preserve">ولد سنة اثنتين وستين وخمس ماية. وتوفي سنة تسع وأربعين وست ماية. </w:t>
      </w:r>
    </w:p>
    <w:p/>
    <w:p>
      <w:pPr/>
      <w:r>
        <w:rPr/>
        <w:t xml:space="preserve">سمع الحافظين أبي بكر ابن الجد، وأبي عبد الله ابن زرقون وغيرهما. وكان من أهل العناية بالرواية.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الرندي
</w:t>
      </w:r>
    </w:p>
    <w:p>
      <w:pPr/>
      <w:r>
        <w:rPr/>
        <w:t xml:space="preserve">الرندي العلامة خطيب رندة -مدينة بالأندلس- أبو الحسين عبيد الله بن عاصم بن عيسى الأسدي.</w:t>
      </w:r>
    </w:p>
    <w:p/>
    <w:p>
      <w:pPr/>
      <w:r>
        <w:rPr/>
        <w:t xml:space="preserve">مولده سنة اثنتين وستين وخمس مائة.</w:t>
      </w:r>
    </w:p>
    <w:p/>
    <w:p>
      <w:pPr/>
      <w:r>
        <w:rPr/>
        <w:t xml:space="preserve">وسمع من: أبي بكر بن الجد، وأبي عبد الله بن زرقون، وأبي القاسم ابن حبيش، وأبي زيد السهيلي، وجماعة. وتفرد، وروى الكثير، وعني بالرواية، مع الفقه والجلالة والأصالة.</w:t>
      </w:r>
    </w:p>
    <w:p/>
    <w:p>
      <w:pPr/>
      <w:r>
        <w:rPr/>
        <w:t xml:space="preserve">مات في ذي الحجة، سنة تسع وأربعين وست مائة برندة.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2026-07-27T13:27:56+03:00</dcterms:created>
  <dcterms:modified xsi:type="dcterms:W3CDTF">2026-07-27T13:27:56+03:00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