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تاج الدولة البويهي
</w:t>
      </w:r>
    </w:p>
    <w:p>
      <w:pPr>
        <w:jc w:val="start"/>
        <w:bidi/>
      </w:pPr>
      <w:r>
        <w:rPr>
          <w:rFonts w:ascii="arial" w:hAnsi="arial" w:eastAsia="arial" w:cs="arial"/>
          <w:sz w:val="28"/>
          <w:szCs w:val="28"/>
          <w:b w:val="1"/>
          <w:bCs w:val="1"/>
          <w:rtl/>
        </w:rPr>
        <w:t xml:space="preserve">تاج الدولة البويهي
</w:t>
      </w:r>
    </w:p>
    <w:p>
      <w:pPr/>
      <w:r>
        <w:rPr/>
        <w:t xml:space="preserve">تاج الدولة البويهي  أحمد (تاج الدولة) بن فناخسرو (عضد الدولة) ابن ركن الدولة البويهى، أبو الحسين: آدب بنى بويه وأشعرهم وأكرمهم. كان يلى الأهواز فى أيام أبيه. ولما مات أبوه انتزعها منه أخوه (شرف الدولة، أبو الفوارس)سنة 375هـ ، وطارده، فهرب يريد عمه فخر الدولة، بالرى؛ فلما وصل إلى أصبهان (وكانت تابعة للرى) أقام بها وكتب إلى عمه، فأرسل إليه مالآ. ثم أراد تملكها فثار عليه جندها وأسروه وسيروه إلى الرى فحبسه عمه. وبقى محبوسا إلى أن مرض عمه فخر الدولة مرض الموت فأرسل إليه من قتله فى حبسه. </w:t>
      </w:r>
    </w:p>
    <w:p>
      <w:pPr>
        <w:jc w:val="start"/>
        <w:bidi/>
      </w:pPr>
      <w:r>
        <w:rPr>
          <w:sz w:val="24"/>
          <w:szCs w:val="24"/>
          <w:b w:val="1"/>
          <w:bCs w:val="1"/>
          <w:rtl/>
        </w:rPr>
        <w:t xml:space="preserve">
الأعلام،(دار العلم للملايين - بيروت،2002،ط 15،ج 1،ص 196)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2026-07-25T15:59:46+03:00</dcterms:created>
  <dcterms:modified xsi:type="dcterms:W3CDTF">2026-07-25T15:59:46+03:00</dcterms:modified>
</cp:coreProperties>
</file>

<file path=docProps/custom.xml><?xml version="1.0" encoding="utf-8"?>
<Properties xmlns="http://schemas.openxmlformats.org/officeDocument/2006/custom-properties" xmlns:vt="http://schemas.openxmlformats.org/officeDocument/2006/docPropsVTypes"/>
</file>