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المغربي
</w:t>
      </w:r>
    </w:p>
    <w:p>
      <w:pPr>
        <w:jc w:val="start"/>
        <w:bidi/>
      </w:pPr>
      <w:r>
        <w:rPr>
          <w:rFonts w:ascii="arial" w:hAnsi="arial" w:eastAsia="arial" w:cs="arial"/>
          <w:sz w:val="28"/>
          <w:szCs w:val="28"/>
          <w:b w:val="1"/>
          <w:bCs w:val="1"/>
          <w:rtl/>
        </w:rPr>
        <w:t xml:space="preserve">المغربي
</w:t>
      </w:r>
    </w:p>
    <w:p>
      <w:pPr/>
      <w:r>
        <w:rPr/>
        <w:t xml:space="preserve">المغربي  محمد بن جعفر بن محمد بن علي المغربي أبو الفرج: وزير كاتب. استوزره المستنصر بالله الفاطمي (صاحب مصر) سنة 450 هـ ، ولقبه ’’الوزير الأجل الكامل الأوحد صفي أمير المؤمنين وخالصته’’ فأقام سنتين وشهورا وعزل. وكان الوزراء اذا عزلوا في هذه الدولة لم يستخدموا، فاقترح لما أريد عزله أن يولي بعض الدواوين، فولى ديوان الانشاء واستمر فيه إلى أن توفي بمصر. وبطلت من يومه عادة اهمال الوزراء اذا عزلوا، فصاروا يستخدمون في الأعمال اللائقة بهم. </w:t>
      </w:r>
    </w:p>
    <w:p>
      <w:pPr>
        <w:jc w:val="start"/>
        <w:bidi/>
      </w:pPr>
      <w:r>
        <w:rPr>
          <w:sz w:val="24"/>
          <w:szCs w:val="24"/>
          <w:b w:val="1"/>
          <w:bCs w:val="1"/>
          <w:rtl/>
        </w:rPr>
        <w:t xml:space="preserve">
الأعلام،(دار العلم للملايين - بيروت،2002،ط 15،ج 6،ص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2026-07-27T10:50:17+03:00</dcterms:created>
  <dcterms:modified xsi:type="dcterms:W3CDTF">2026-07-27T10:50:17+03:00</dcterms:modified>
</cp:coreProperties>
</file>

<file path=docProps/custom.xml><?xml version="1.0" encoding="utf-8"?>
<Properties xmlns="http://schemas.openxmlformats.org/officeDocument/2006/custom-properties" xmlns:vt="http://schemas.openxmlformats.org/officeDocument/2006/docPropsVTypes"/>
</file>