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النيريزي الخطيب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النيريزي الخطيب
</w:t>
      </w:r>
    </w:p>
    <w:p>
      <w:pPr/>
      <w:r>
        <w:rPr/>
        <w:t xml:space="preserve">النيريزي الخطيب علي بن محمد بن علي، أبو الحسن النيريزي الخطيب الشيرازي. رأيت نيريز مضبوطا بالنون والياء آخر الحروف. توفي سنة اثنتين وست مائة. ومن شعره:</w:t>
      </w:r>
    </w:p>
    <w:p/>
    <w:p>
      <w:pPr>
        <w:jc w:val="center"/>
      </w:pPr>
      <w:r>
        <w:rPr>
          <w:color w:val="ff0000"/>
        </w:rPr>
        <w:t xml:space="preserve">ألم بنا طيف يجل عن الوصف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وفي طرفه خمر وخمر على الكف</w:t>
      </w:r>
    </w:p>
    <w:p/>
    <w:p>
      <w:pPr>
        <w:jc w:val="center"/>
      </w:pPr>
      <w:r>
        <w:rPr>
          <w:color w:val="ff0000"/>
        </w:rPr>
        <w:t xml:space="preserve">فأسكر أصحابي بخمرة كفه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وأسكرني والله من خمرة الطرف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النيريزي الخطيب
</w:t>
      </w:r>
    </w:p>
    <w:p>
      <w:pPr/>
      <w:r>
        <w:rPr/>
        <w:t xml:space="preserve">النيريزي الخطيب بالنون والياء آخر الحروف: علي بن محمد بن علي، وهو غير الخطيب التبريزي بالتاء ثالثة الحروف والباء ثانية الحروف.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علي النيريزي
</w:t>
      </w:r>
    </w:p>
    <w:p>
      <w:pPr/>
      <w:r>
        <w:rPr/>
        <w:t xml:space="preserve">علي بن محمد بن علي النيريزي. نسبة إلى نيريز- بنون مفتوحة ثم تحتانية- من قرى شيراز، أبو الحسن، كان من العلماء وله «تفسير»، ذكره ابن الفوطي في «الدرر الناصعة في شعراء المائة السابعة» وقال: مات سنة اثنتين وخمسين وستمائة وله أربع وثمانون سنة.</w:t>
      </w:r>
    </w:p>
    <w:p/>
    <w:p>
      <w:pPr/>
      <w:r>
        <w:rPr/>
        <w:t xml:space="preserve">وذكره ابن الدبيثي في «تاريخ واسط» وقال: إنه قدم عليهم وحدثهم عن عبد العزيز بن محمد الأدمي، وكان خطيب شيراز.</w:t>
      </w:r>
    </w:p>
    <w:p/>
    <w:p>
      <w:pPr/>
      <w:r>
        <w:rPr/>
        <w:t xml:space="preserve">ذكره الحافظ ابن حجر في «تبصير المنتبه».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1،ص 435)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2026-07-27T08:08:32+03:00</dcterms:created>
  <dcterms:modified xsi:type="dcterms:W3CDTF">2026-07-27T08:08:32+03:00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