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القاسم الواعظ
</w:t>
      </w:r>
    </w:p>
    <w:p>
      <w:pPr>
        <w:jc w:val="start"/>
        <w:bidi/>
      </w:pPr>
      <w:r>
        <w:rPr>
          <w:rFonts w:ascii="arial" w:hAnsi="arial" w:eastAsia="arial" w:cs="arial"/>
          <w:sz w:val="28"/>
          <w:szCs w:val="28"/>
          <w:b w:val="1"/>
          <w:bCs w:val="1"/>
          <w:rtl/>
        </w:rPr>
        <w:t xml:space="preserve">السيد أبو القاسم الواعظ
</w:t>
      </w:r>
    </w:p>
    <w:p>
      <w:pPr/>
      <w:r>
        <w:rPr/>
        <w:t xml:space="preserve">السيد أبو القاسم الواعظ علي بن يعلى بن عوض بن محمد بن حمزة؛ ينتهي إلى عمر بن علي بن أبي طالب، رضي الله عنه، أبو القاسم الواعظ، من أهل هراة. كان من مشاهير خراسان في الوعظ والتذكير، وكان مليح العبارة، حلو الإشارة. جال في بلاد خراسان، وظهر له القبول التام من الناس، وأحبته القلوب. وقدم بغداذ، وصادف قبولا، وأحبه الخاص والعام. وكان يظهر التسنن، ويقول: أنا علوي بلخي، ما أنا علوي كرخي. وسمع بهراة من محمد بن عبد الله الهروي العمري، وعبد الأعلى بن عبد الواحد المليحي، والنجيب بن ميمون الواسطي؛ وسمع بغير هراة. وتوفي بمرو الروذ سنة سبع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2026-07-27T12:16:43+03:00</dcterms:created>
  <dcterms:modified xsi:type="dcterms:W3CDTF">2026-07-27T12:16:43+03:00</dcterms:modified>
</cp:coreProperties>
</file>

<file path=docProps/custom.xml><?xml version="1.0" encoding="utf-8"?>
<Properties xmlns="http://schemas.openxmlformats.org/officeDocument/2006/custom-properties" xmlns:vt="http://schemas.openxmlformats.org/officeDocument/2006/docPropsVTypes"/>
</file>